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rsidP="00347E84">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1B835EBD" w14:textId="3C6C0CD5" w:rsidR="00273AC9" w:rsidRPr="006850D8" w:rsidRDefault="00273AC9" w:rsidP="00273AC9">
      <w:pPr>
        <w:jc w:val="center"/>
        <w:rPr>
          <w:b/>
          <w:sz w:val="22"/>
        </w:rPr>
      </w:pPr>
      <w:r w:rsidRPr="006850D8">
        <w:rPr>
          <w:rStyle w:val="Strong"/>
          <w:sz w:val="28"/>
          <w:szCs w:val="28"/>
          <w:lang w:val="en-GB"/>
        </w:rPr>
        <w:t>Contract title:</w:t>
      </w:r>
      <w:r w:rsidR="00EA19EC">
        <w:rPr>
          <w:rStyle w:val="Strong"/>
          <w:sz w:val="28"/>
          <w:szCs w:val="28"/>
          <w:lang w:val="en-GB"/>
        </w:rPr>
        <w:t xml:space="preserve"> </w:t>
      </w:r>
      <w:r w:rsidR="005328D4" w:rsidRPr="005328D4">
        <w:rPr>
          <w:b/>
          <w:sz w:val="22"/>
        </w:rPr>
        <w:t xml:space="preserve">Procurement of Equipment - SPECIAL VEHICLE WITH CAMERA SYSTEM FOR PIPELINE INSPECTION  </w:t>
      </w:r>
    </w:p>
    <w:p w14:paraId="19D6283E" w14:textId="77777777" w:rsidR="00273AC9" w:rsidRPr="006850D8" w:rsidRDefault="00273AC9" w:rsidP="00273AC9">
      <w:pPr>
        <w:jc w:val="center"/>
        <w:rPr>
          <w:sz w:val="28"/>
          <w:szCs w:val="28"/>
          <w:lang w:val="en-GB"/>
        </w:rPr>
      </w:pPr>
      <w:r w:rsidRPr="006850D8">
        <w:rPr>
          <w:rStyle w:val="Strong"/>
          <w:sz w:val="28"/>
          <w:szCs w:val="28"/>
          <w:lang w:val="en-GB"/>
        </w:rPr>
        <w:br/>
      </w:r>
      <w:proofErr w:type="spellStart"/>
      <w:r w:rsidRPr="006850D8">
        <w:rPr>
          <w:rStyle w:val="Strong"/>
          <w:sz w:val="28"/>
          <w:szCs w:val="28"/>
          <w:lang w:val="en-GB"/>
        </w:rPr>
        <w:t>Horgoš</w:t>
      </w:r>
      <w:proofErr w:type="spellEnd"/>
      <w:r w:rsidRPr="006850D8">
        <w:rPr>
          <w:rStyle w:val="Strong"/>
          <w:sz w:val="28"/>
          <w:szCs w:val="28"/>
          <w:lang w:val="en-GB"/>
        </w:rPr>
        <w:t xml:space="preserve">/North Banat District / Republic of Serbia </w:t>
      </w:r>
    </w:p>
    <w:p w14:paraId="1BE20B1E" w14:textId="77777777" w:rsidR="006F5FD0" w:rsidRPr="00B33EE6" w:rsidRDefault="007727F3" w:rsidP="00371C5B">
      <w:pPr>
        <w:keepNext/>
        <w:widowControl/>
        <w:spacing w:before="240" w:after="120"/>
        <w:ind w:left="284" w:hanging="284"/>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204F838B" w14:textId="77777777" w:rsidR="00273AC9" w:rsidRPr="006850D8" w:rsidRDefault="00273AC9" w:rsidP="00273AC9">
      <w:pPr>
        <w:pStyle w:val="Blockquote"/>
        <w:rPr>
          <w:bCs/>
          <w:i/>
          <w:sz w:val="22"/>
          <w:szCs w:val="22"/>
          <w:lang w:val="en-GB"/>
        </w:rPr>
      </w:pPr>
      <w:bookmarkStart w:id="0" w:name="_Hlk184636755"/>
      <w:r w:rsidRPr="006850D8">
        <w:rPr>
          <w:bCs/>
          <w:lang w:val="sr-Latn-RS"/>
        </w:rPr>
        <w:t>HUSRB/23R/12/047/</w:t>
      </w:r>
      <w:bookmarkEnd w:id="0"/>
      <w:r w:rsidRPr="006850D8">
        <w:rPr>
          <w:bCs/>
          <w:lang w:val="sr-Latn-RS"/>
        </w:rPr>
        <w:t>P1/02</w:t>
      </w:r>
    </w:p>
    <w:p w14:paraId="7A3797D8" w14:textId="77777777" w:rsidR="006F5FD0" w:rsidRPr="00371C5B" w:rsidRDefault="007727F3" w:rsidP="00371C5B">
      <w:pPr>
        <w:keepNext/>
        <w:widowControl/>
        <w:spacing w:before="240" w:after="120"/>
        <w:ind w:left="284" w:hanging="284"/>
        <w:outlineLvl w:val="0"/>
        <w:rPr>
          <w:rStyle w:val="Strong"/>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7310300A" w14:textId="77777777" w:rsidR="00273AC9" w:rsidRDefault="00273AC9" w:rsidP="00273AC9">
      <w:pPr>
        <w:pStyle w:val="Blockquote"/>
        <w:tabs>
          <w:tab w:val="left" w:pos="709"/>
        </w:tabs>
        <w:ind w:left="709"/>
        <w:rPr>
          <w:color w:val="000000"/>
          <w:sz w:val="22"/>
          <w:szCs w:val="22"/>
          <w:lang w:val="en-GB"/>
        </w:rPr>
      </w:pPr>
      <w:r>
        <w:rPr>
          <w:color w:val="000000"/>
          <w:sz w:val="22"/>
          <w:szCs w:val="22"/>
          <w:lang w:val="en-GB"/>
        </w:rPr>
        <w:t>Local Open</w:t>
      </w:r>
    </w:p>
    <w:p w14:paraId="5F51B1AE" w14:textId="77777777" w:rsidR="00971962"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289BEF38" w14:textId="77777777" w:rsidR="00273AC9" w:rsidRPr="006850D8" w:rsidRDefault="00273AC9" w:rsidP="00273AC9">
      <w:pPr>
        <w:pStyle w:val="PRAGHeading2"/>
        <w:numPr>
          <w:ilvl w:val="0"/>
          <w:numId w:val="0"/>
        </w:numPr>
        <w:ind w:left="426"/>
        <w:rPr>
          <w:lang w:val="en-GB"/>
        </w:rPr>
      </w:pPr>
      <w:r w:rsidRPr="006850D8">
        <w:t xml:space="preserve">The Interreg VI-A IPA Hungary-Serbia </w:t>
      </w:r>
      <w:proofErr w:type="spellStart"/>
      <w:r w:rsidRPr="006850D8">
        <w:t>programme</w:t>
      </w:r>
      <w:proofErr w:type="spellEnd"/>
      <w:r w:rsidRPr="006850D8">
        <w:t xml:space="preserve"> is implemented within the 2021-2027 European Union financial framework, under the Instrument for Pre-accession Assistance (IPA).</w:t>
      </w:r>
    </w:p>
    <w:p w14:paraId="797EC4DC"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39D253B" w14:textId="77777777" w:rsidR="00273AC9" w:rsidRPr="006850D8" w:rsidRDefault="00273AC9" w:rsidP="00273AC9">
      <w:pPr>
        <w:ind w:left="426" w:right="360"/>
        <w:rPr>
          <w:sz w:val="22"/>
          <w:szCs w:val="22"/>
          <w:lang w:val="en-GB"/>
        </w:rPr>
      </w:pPr>
      <w:r w:rsidRPr="006850D8">
        <w:rPr>
          <w:sz w:val="22"/>
          <w:szCs w:val="22"/>
          <w:lang w:val="en-GB"/>
        </w:rPr>
        <w:t>HUSRB/23R/12/047/ project</w:t>
      </w:r>
    </w:p>
    <w:p w14:paraId="3EA9F252" w14:textId="77777777" w:rsidR="00273AC9" w:rsidRPr="006850D8" w:rsidRDefault="00273AC9" w:rsidP="00273AC9">
      <w:pPr>
        <w:pStyle w:val="Blockquote"/>
        <w:tabs>
          <w:tab w:val="left" w:pos="709"/>
        </w:tabs>
        <w:rPr>
          <w:sz w:val="22"/>
          <w:szCs w:val="22"/>
          <w:lang w:val="en-GB"/>
        </w:rPr>
      </w:pPr>
      <w:r w:rsidRPr="006850D8">
        <w:rPr>
          <w:sz w:val="22"/>
          <w:szCs w:val="22"/>
          <w:lang w:val="en-GB"/>
        </w:rPr>
        <w:t xml:space="preserve">Equipment budget line </w:t>
      </w:r>
    </w:p>
    <w:p w14:paraId="18C1FBDF" w14:textId="77777777" w:rsidR="00273AC9" w:rsidRPr="006850D8" w:rsidRDefault="00273AC9" w:rsidP="00273AC9">
      <w:pPr>
        <w:ind w:left="426" w:right="360"/>
        <w:rPr>
          <w:sz w:val="22"/>
          <w:szCs w:val="22"/>
          <w:lang w:val="en-GB"/>
        </w:rPr>
      </w:pPr>
      <w:r w:rsidRPr="006850D8">
        <w:rPr>
          <w:sz w:val="22"/>
          <w:szCs w:val="22"/>
          <w:lang w:val="en-GB"/>
        </w:rPr>
        <w:t>Budget line – 5.1.1. Special vehicle with camera system for pipeline inspection</w:t>
      </w:r>
    </w:p>
    <w:p w14:paraId="03ED8384"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14C8857D" w14:textId="77777777" w:rsidR="00273AC9" w:rsidRPr="006850D8" w:rsidRDefault="00273AC9" w:rsidP="00273AC9">
      <w:pPr>
        <w:snapToGrid w:val="0"/>
        <w:ind w:left="709"/>
        <w:rPr>
          <w:bCs/>
          <w:sz w:val="22"/>
          <w:szCs w:val="22"/>
        </w:rPr>
      </w:pPr>
      <w:r w:rsidRPr="006850D8">
        <w:rPr>
          <w:bCs/>
          <w:sz w:val="22"/>
          <w:szCs w:val="22"/>
        </w:rPr>
        <w:t>POTISKI VODOVODI-TISZA MENTI VIZMUVEK DOO HORGOŠ</w:t>
      </w:r>
    </w:p>
    <w:p w14:paraId="6BB5DBF2" w14:textId="77777777" w:rsidR="00273AC9" w:rsidRPr="006850D8" w:rsidRDefault="00273AC9" w:rsidP="00273AC9">
      <w:pPr>
        <w:snapToGrid w:val="0"/>
        <w:ind w:left="709"/>
        <w:rPr>
          <w:bCs/>
          <w:sz w:val="22"/>
          <w:szCs w:val="22"/>
        </w:rPr>
      </w:pPr>
      <w:r w:rsidRPr="006850D8">
        <w:rPr>
          <w:bCs/>
          <w:sz w:val="22"/>
          <w:szCs w:val="22"/>
        </w:rPr>
        <w:t xml:space="preserve">24410 </w:t>
      </w:r>
      <w:proofErr w:type="spellStart"/>
      <w:r w:rsidRPr="006850D8">
        <w:rPr>
          <w:bCs/>
          <w:sz w:val="22"/>
          <w:szCs w:val="22"/>
        </w:rPr>
        <w:t>Horgoš</w:t>
      </w:r>
      <w:proofErr w:type="spellEnd"/>
      <w:r w:rsidRPr="006850D8">
        <w:rPr>
          <w:bCs/>
          <w:sz w:val="22"/>
          <w:szCs w:val="22"/>
        </w:rPr>
        <w:t xml:space="preserve">, </w:t>
      </w:r>
      <w:proofErr w:type="spellStart"/>
      <w:r w:rsidRPr="006850D8">
        <w:rPr>
          <w:bCs/>
          <w:sz w:val="22"/>
          <w:szCs w:val="22"/>
        </w:rPr>
        <w:t>Železnička</w:t>
      </w:r>
      <w:proofErr w:type="spellEnd"/>
      <w:r w:rsidRPr="006850D8">
        <w:rPr>
          <w:bCs/>
          <w:sz w:val="22"/>
          <w:szCs w:val="22"/>
        </w:rPr>
        <w:t xml:space="preserve"> 22</w:t>
      </w:r>
    </w:p>
    <w:p w14:paraId="3AC3B8B4" w14:textId="77777777" w:rsidR="00273AC9" w:rsidRPr="006850D8" w:rsidRDefault="00273AC9" w:rsidP="00273AC9">
      <w:pPr>
        <w:snapToGrid w:val="0"/>
        <w:ind w:left="709"/>
        <w:rPr>
          <w:bCs/>
          <w:sz w:val="22"/>
          <w:szCs w:val="22"/>
        </w:rPr>
      </w:pPr>
      <w:r w:rsidRPr="006850D8">
        <w:rPr>
          <w:bCs/>
          <w:sz w:val="22"/>
          <w:szCs w:val="22"/>
        </w:rPr>
        <w:t xml:space="preserve">Republic of Serbia </w:t>
      </w:r>
    </w:p>
    <w:p w14:paraId="67F4A905" w14:textId="77777777" w:rsidR="006F5FD0" w:rsidRPr="00B33EE6" w:rsidRDefault="00000000" w:rsidP="00347E84">
      <w:pPr>
        <w:rPr>
          <w:sz w:val="22"/>
          <w:szCs w:val="22"/>
          <w:lang w:val="en-GB"/>
        </w:rPr>
      </w:pPr>
      <w:r>
        <w:rPr>
          <w:snapToGrid/>
          <w:sz w:val="22"/>
          <w:szCs w:val="22"/>
          <w:lang w:val="en-GB"/>
        </w:rPr>
        <w:pict w14:anchorId="589D319E">
          <v:line id="_x0000_s2051" style="position:absolute;z-index:1" from="0,12pt" to="468pt,12.05pt" o:allowincell="f" strokecolor="#d4d4d4" strokeweight="1.75pt">
            <v:shadow on="t" origin=",32385f" offset="0,-1pt"/>
          </v:line>
        </w:pict>
      </w:r>
    </w:p>
    <w:p w14:paraId="30050B2B" w14:textId="77777777" w:rsidR="006F5FD0" w:rsidRPr="00B33EE6" w:rsidRDefault="006F5FD0" w:rsidP="00347E84">
      <w:pPr>
        <w:jc w:val="center"/>
        <w:rPr>
          <w:sz w:val="28"/>
          <w:szCs w:val="28"/>
          <w:lang w:val="en-GB"/>
        </w:rPr>
      </w:pPr>
      <w:r w:rsidRPr="00B33EE6">
        <w:rPr>
          <w:rStyle w:val="Strong"/>
          <w:sz w:val="28"/>
          <w:szCs w:val="28"/>
          <w:lang w:val="en-GB"/>
        </w:rPr>
        <w:t>CONTRACT SPECIFICATION</w:t>
      </w:r>
    </w:p>
    <w:p w14:paraId="4C8A4F1B"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32B8D48E" w:rsidR="006F5FD0" w:rsidRPr="00B33EE6" w:rsidRDefault="00172785" w:rsidP="00371C5B">
      <w:pPr>
        <w:pStyle w:val="Blockquote"/>
        <w:spacing w:before="40" w:after="60"/>
        <w:ind w:left="284" w:right="0"/>
        <w:rPr>
          <w:i/>
          <w:sz w:val="22"/>
          <w:szCs w:val="22"/>
          <w:lang w:val="en-GB"/>
        </w:rPr>
      </w:pPr>
      <w:r w:rsidRPr="00273AC9">
        <w:rPr>
          <w:rStyle w:val="Emphasis"/>
          <w:i w:val="0"/>
          <w:sz w:val="22"/>
          <w:szCs w:val="22"/>
          <w:lang w:val="en-GB"/>
        </w:rPr>
        <w:t>U</w:t>
      </w:r>
      <w:r w:rsidR="008A1184" w:rsidRPr="00273AC9">
        <w:rPr>
          <w:rStyle w:val="Emphasis"/>
          <w:i w:val="0"/>
          <w:sz w:val="22"/>
          <w:szCs w:val="22"/>
          <w:lang w:val="en-GB"/>
        </w:rPr>
        <w:t>nit-price</w:t>
      </w:r>
    </w:p>
    <w:p w14:paraId="1879C6BF"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7FE692D" w14:textId="77777777" w:rsidR="00273AC9" w:rsidRPr="006850D8" w:rsidRDefault="00273AC9" w:rsidP="00273AC9">
      <w:pPr>
        <w:jc w:val="both"/>
        <w:outlineLvl w:val="0"/>
        <w:rPr>
          <w:bCs/>
        </w:rPr>
      </w:pPr>
      <w:r w:rsidRPr="006850D8">
        <w:rPr>
          <w:bCs/>
          <w:sz w:val="22"/>
        </w:rPr>
        <w:t>This contract aims to supply and deliver a special</w:t>
      </w:r>
      <w:r w:rsidRPr="006850D8">
        <w:rPr>
          <w:bCs/>
          <w:sz w:val="22"/>
          <w:szCs w:val="22"/>
        </w:rPr>
        <w:t xml:space="preserve"> vehicle with a camera system for pipeline inspection </w:t>
      </w:r>
      <w:r w:rsidRPr="006850D8">
        <w:rPr>
          <w:bCs/>
          <w:sz w:val="22"/>
        </w:rPr>
        <w:t xml:space="preserve">for the </w:t>
      </w:r>
      <w:r w:rsidRPr="006850D8">
        <w:rPr>
          <w:rStyle w:val="Strong"/>
          <w:bCs/>
          <w:sz w:val="22"/>
          <w:szCs w:val="22"/>
          <w:lang w:val="en-GB"/>
        </w:rPr>
        <w:t>"</w:t>
      </w:r>
      <w:r w:rsidRPr="006850D8">
        <w:rPr>
          <w:bCs/>
          <w:sz w:val="22"/>
        </w:rPr>
        <w:t>Wastewater Treatment cross-border cooperation by Tisa River</w:t>
      </w:r>
      <w:r w:rsidRPr="006850D8">
        <w:rPr>
          <w:bCs/>
        </w:rPr>
        <w:t xml:space="preserve">" project. To improve the quality of </w:t>
      </w:r>
      <w:r w:rsidRPr="006850D8">
        <w:rPr>
          <w:bCs/>
        </w:rPr>
        <w:lastRenderedPageBreak/>
        <w:t xml:space="preserve">life of the people in the target region, it is necessary to improve the drainage of stormwater in addition to wastewater, for construction and maintenance and to allow for a more successful separation of two types of </w:t>
      </w:r>
      <w:proofErr w:type="gramStart"/>
      <w:r w:rsidRPr="006850D8">
        <w:rPr>
          <w:bCs/>
        </w:rPr>
        <w:t>wastewater</w:t>
      </w:r>
      <w:proofErr w:type="gramEnd"/>
      <w:r w:rsidRPr="006850D8">
        <w:rPr>
          <w:bCs/>
        </w:rPr>
        <w:t xml:space="preserve">. </w:t>
      </w:r>
    </w:p>
    <w:p w14:paraId="5615D576" w14:textId="77777777" w:rsidR="00273AC9" w:rsidRPr="006850D8" w:rsidRDefault="00273AC9" w:rsidP="00273AC9">
      <w:pPr>
        <w:jc w:val="both"/>
        <w:outlineLvl w:val="0"/>
        <w:rPr>
          <w:rStyle w:val="Strong"/>
          <w:bCs/>
          <w:sz w:val="22"/>
          <w:szCs w:val="22"/>
          <w:lang w:val="en-GB"/>
        </w:rPr>
      </w:pPr>
      <w:r w:rsidRPr="006850D8">
        <w:rPr>
          <w:bCs/>
        </w:rPr>
        <w:t xml:space="preserve">In </w:t>
      </w:r>
      <w:proofErr w:type="spellStart"/>
      <w:r w:rsidRPr="006850D8">
        <w:rPr>
          <w:bCs/>
        </w:rPr>
        <w:t>Kanjiza</w:t>
      </w:r>
      <w:proofErr w:type="spellEnd"/>
      <w:r w:rsidRPr="006850D8">
        <w:rPr>
          <w:bCs/>
        </w:rPr>
        <w:t xml:space="preserve"> and </w:t>
      </w:r>
      <w:proofErr w:type="spellStart"/>
      <w:r w:rsidRPr="006850D8">
        <w:rPr>
          <w:bCs/>
        </w:rPr>
        <w:t>Horgoš</w:t>
      </w:r>
      <w:proofErr w:type="spellEnd"/>
      <w:r w:rsidRPr="006850D8">
        <w:rPr>
          <w:bCs/>
        </w:rPr>
        <w:t xml:space="preserve">, cases of mixing of atmospheric and municipal wastewater have been reported. This condition is highly undesirable from the point of view of the efficiency of the treatment plant in the case of short-term high flow fluctuation, but also from the point of view of environmental safety when the domestic wastewater is discharged to the storm sewer collectors. For these reasons, it is necessary to determine the </w:t>
      </w:r>
      <w:proofErr w:type="gramStart"/>
      <w:r w:rsidRPr="006850D8">
        <w:rPr>
          <w:bCs/>
        </w:rPr>
        <w:t>current status</w:t>
      </w:r>
      <w:proofErr w:type="gramEnd"/>
      <w:r w:rsidRPr="006850D8">
        <w:rPr>
          <w:bCs/>
        </w:rPr>
        <w:t xml:space="preserve"> of the collectors of both types of sewerage networks to separate them </w:t>
      </w:r>
      <w:proofErr w:type="gramStart"/>
      <w:r w:rsidRPr="006850D8">
        <w:rPr>
          <w:bCs/>
        </w:rPr>
        <w:t>at</w:t>
      </w:r>
      <w:proofErr w:type="gramEnd"/>
      <w:r w:rsidRPr="006850D8">
        <w:rPr>
          <w:bCs/>
        </w:rPr>
        <w:t xml:space="preserve"> the point of discharge, at the consumers themselves, before connection to the public network. </w:t>
      </w:r>
    </w:p>
    <w:p w14:paraId="75E79BC7" w14:textId="77777777" w:rsidR="006F5FD0" w:rsidRPr="00371C5B" w:rsidRDefault="006F5FD0" w:rsidP="00371C5B">
      <w:pPr>
        <w:keepNext/>
        <w:widowControl/>
        <w:spacing w:before="240" w:after="120"/>
        <w:ind w:left="284" w:hanging="284"/>
        <w:outlineLvl w:val="0"/>
        <w:rPr>
          <w:rStyle w:val="Strong"/>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2322095B" w14:textId="39371580" w:rsidR="00820CDB" w:rsidRPr="00F236C9" w:rsidRDefault="00820CDB" w:rsidP="00371C5B">
      <w:pPr>
        <w:pStyle w:val="Blockquote"/>
        <w:spacing w:before="40" w:after="60"/>
        <w:ind w:left="284" w:right="0"/>
        <w:rPr>
          <w:rStyle w:val="Strong"/>
          <w:b w:val="0"/>
          <w:sz w:val="22"/>
          <w:szCs w:val="22"/>
          <w:lang w:val="en-GB"/>
        </w:rPr>
      </w:pPr>
      <w:r w:rsidRPr="00F236C9">
        <w:rPr>
          <w:rStyle w:val="Strong"/>
          <w:b w:val="0"/>
          <w:sz w:val="22"/>
          <w:szCs w:val="22"/>
          <w:lang w:val="en-GB"/>
        </w:rPr>
        <w:t>This contract is divided into lots</w:t>
      </w:r>
      <w:r w:rsidRPr="00273AC9">
        <w:rPr>
          <w:rStyle w:val="Strong"/>
          <w:b w:val="0"/>
          <w:sz w:val="22"/>
          <w:szCs w:val="22"/>
          <w:lang w:val="en-GB"/>
        </w:rPr>
        <w:t>:</w:t>
      </w:r>
      <w:r w:rsidRPr="00273AC9">
        <w:rPr>
          <w:rStyle w:val="Strong"/>
          <w:sz w:val="22"/>
          <w:szCs w:val="22"/>
          <w:lang w:val="en-GB"/>
        </w:rPr>
        <w:t xml:space="preserve"> </w:t>
      </w:r>
      <w:r w:rsidRPr="00273AC9">
        <w:rPr>
          <w:rStyle w:val="Strong"/>
          <w:b w:val="0"/>
          <w:sz w:val="22"/>
          <w:szCs w:val="22"/>
          <w:lang w:val="en-GB"/>
        </w:rPr>
        <w:t>no</w:t>
      </w:r>
    </w:p>
    <w:p w14:paraId="4ACBDD52" w14:textId="5A1D9AAB" w:rsidR="00820CDB" w:rsidRPr="0079428E" w:rsidRDefault="00820CDB" w:rsidP="00371C5B">
      <w:pPr>
        <w:ind w:left="284"/>
        <w:outlineLvl w:val="0"/>
        <w:rPr>
          <w:rStyle w:val="Emphasis"/>
          <w:i w:val="0"/>
          <w:sz w:val="22"/>
          <w:szCs w:val="22"/>
          <w:lang w:val="en-GB"/>
        </w:rPr>
      </w:pPr>
      <w:r w:rsidRPr="00273AC9">
        <w:rPr>
          <w:rStyle w:val="Strong"/>
          <w:b w:val="0"/>
          <w:sz w:val="22"/>
          <w:szCs w:val="22"/>
        </w:rPr>
        <w:t>one lot only</w:t>
      </w:r>
    </w:p>
    <w:p w14:paraId="6C843D95" w14:textId="77777777" w:rsidR="006F5FD0" w:rsidRPr="00B33EE6" w:rsidRDefault="00000000" w:rsidP="00371C5B">
      <w:pPr>
        <w:outlineLvl w:val="0"/>
        <w:rPr>
          <w:sz w:val="22"/>
          <w:szCs w:val="22"/>
          <w:lang w:val="en-GB"/>
        </w:rPr>
      </w:pPr>
      <w:r>
        <w:rPr>
          <w:snapToGrid/>
          <w:sz w:val="22"/>
          <w:szCs w:val="22"/>
          <w:lang w:val="en-GB"/>
        </w:rPr>
        <w:pict w14:anchorId="21854D6C">
          <v:line id="_x0000_s2052" style="position:absolute;z-index:2" from="-1.05pt,17.55pt" to="466.95pt,17.6pt" o:allowincell="f" strokecolor="#d4d4d4" strokeweight="1.75pt">
            <v:shadow on="t" origin=",32385f" offset="0,-1pt"/>
          </v:line>
        </w:pict>
      </w:r>
    </w:p>
    <w:p w14:paraId="283B6821" w14:textId="77777777" w:rsidR="006F5FD0" w:rsidRPr="00B33EE6" w:rsidRDefault="006F5FD0" w:rsidP="00347E84">
      <w:pPr>
        <w:jc w:val="center"/>
        <w:rPr>
          <w:sz w:val="28"/>
          <w:szCs w:val="28"/>
          <w:lang w:val="en-GB"/>
        </w:rPr>
      </w:pPr>
      <w:r w:rsidRPr="00B33EE6">
        <w:rPr>
          <w:rStyle w:val="Strong"/>
          <w:sz w:val="28"/>
          <w:szCs w:val="28"/>
          <w:lang w:val="en-GB"/>
        </w:rPr>
        <w:t>CONDITIONS OF PARTICIPATION</w:t>
      </w:r>
    </w:p>
    <w:p w14:paraId="2CB5FCF7" w14:textId="47E123D2" w:rsidR="00B9793F" w:rsidRDefault="002845CD" w:rsidP="00371C5B">
      <w:pPr>
        <w:keepNext/>
        <w:widowControl/>
        <w:spacing w:before="240" w:after="120"/>
        <w:ind w:left="284" w:hanging="284"/>
        <w:outlineLvl w:val="0"/>
        <w:rPr>
          <w:rStyle w:val="Strong"/>
          <w:sz w:val="22"/>
          <w:szCs w:val="22"/>
          <w:lang w:val="en-GB"/>
        </w:rPr>
      </w:pPr>
      <w:r>
        <w:rPr>
          <w:rStyle w:val="Strong"/>
          <w:sz w:val="22"/>
          <w:szCs w:val="22"/>
          <w:lang w:val="en-GB"/>
        </w:rPr>
        <w:t>9</w:t>
      </w:r>
      <w:r w:rsidR="00B9793F">
        <w:rPr>
          <w:rStyle w:val="Strong"/>
          <w:sz w:val="22"/>
          <w:szCs w:val="22"/>
          <w:lang w:val="en-GB"/>
        </w:rPr>
        <w:t>.</w:t>
      </w:r>
      <w:r w:rsidR="00FD5083">
        <w:rPr>
          <w:rStyle w:val="Strong"/>
          <w:sz w:val="22"/>
          <w:szCs w:val="22"/>
          <w:lang w:val="en-GB"/>
        </w:rPr>
        <w:tab/>
      </w:r>
      <w:r w:rsidR="00B9793F" w:rsidRPr="00D97139">
        <w:rPr>
          <w:rStyle w:val="Strong"/>
          <w:sz w:val="22"/>
          <w:szCs w:val="22"/>
          <w:lang w:val="en-GB"/>
        </w:rPr>
        <w:t>Legal basis, eligibility and rules of origin</w:t>
      </w:r>
    </w:p>
    <w:p w14:paraId="381F6A2D" w14:textId="0FDB4C7D" w:rsidR="00326B16" w:rsidRPr="00D97139" w:rsidRDefault="00820CDB" w:rsidP="00371C5B">
      <w:pPr>
        <w:pStyle w:val="FootnoteText"/>
        <w:ind w:firstLine="426"/>
        <w:jc w:val="center"/>
        <w:rPr>
          <w:rStyle w:val="Strong"/>
          <w:sz w:val="22"/>
          <w:szCs w:val="22"/>
          <w:lang w:val="en-GB"/>
        </w:rPr>
      </w:pPr>
      <w:r>
        <w:rPr>
          <w:rStyle w:val="Strong"/>
          <w:sz w:val="22"/>
          <w:szCs w:val="22"/>
          <w:lang w:val="en-GB"/>
        </w:rPr>
        <w:t>*****</w:t>
      </w:r>
    </w:p>
    <w:p w14:paraId="6234212B" w14:textId="286475DF" w:rsidR="00B9793F" w:rsidRPr="00C348D5" w:rsidRDefault="00B9793F" w:rsidP="00371C5B">
      <w:pPr>
        <w:spacing w:after="0"/>
        <w:ind w:left="284"/>
        <w:jc w:val="both"/>
        <w:rPr>
          <w:iCs/>
          <w:sz w:val="22"/>
          <w:szCs w:val="22"/>
          <w:lang w:val="en-IE"/>
        </w:rPr>
      </w:pPr>
      <w:r w:rsidRPr="00273AC9">
        <w:rPr>
          <w:iCs/>
          <w:sz w:val="22"/>
          <w:szCs w:val="22"/>
          <w:lang w:val="en-IE"/>
        </w:rPr>
        <w:t xml:space="preserve"> IPA III 2021/</w:t>
      </w:r>
      <w:r w:rsidR="009E5C83" w:rsidRPr="00273AC9">
        <w:rPr>
          <w:iCs/>
          <w:sz w:val="22"/>
          <w:szCs w:val="22"/>
          <w:lang w:val="en-IE"/>
        </w:rPr>
        <w:t>1529</w:t>
      </w:r>
      <w:r w:rsidR="000B14E4" w:rsidRPr="00273AC9">
        <w:rPr>
          <w:rStyle w:val="FootnoteReference"/>
          <w:iCs/>
          <w:sz w:val="22"/>
          <w:szCs w:val="22"/>
          <w:lang w:val="en-IE"/>
        </w:rPr>
        <w:footnoteReference w:id="1"/>
      </w:r>
      <w:r w:rsidRPr="00273AC9">
        <w:rPr>
          <w:iCs/>
          <w:sz w:val="22"/>
          <w:szCs w:val="22"/>
          <w:lang w:val="en-IE"/>
        </w:rPr>
        <w:t>:</w:t>
      </w:r>
    </w:p>
    <w:p w14:paraId="04E947DD" w14:textId="6C12D0F3" w:rsidR="00B9793F" w:rsidRPr="00273AC9" w:rsidRDefault="00B9793F" w:rsidP="00371C5B">
      <w:pPr>
        <w:pStyle w:val="paragraph"/>
        <w:spacing w:before="0" w:beforeAutospacing="0" w:after="0" w:afterAutospacing="0"/>
        <w:ind w:left="284"/>
        <w:jc w:val="both"/>
        <w:textAlignment w:val="baseline"/>
        <w:rPr>
          <w:rFonts w:ascii="Segoe UI" w:hAnsi="Segoe UI" w:cs="Segoe UI"/>
          <w:sz w:val="22"/>
          <w:szCs w:val="22"/>
          <w:lang w:val="en-GB"/>
        </w:rPr>
      </w:pPr>
      <w:r w:rsidRPr="00273AC9">
        <w:rPr>
          <w:iCs/>
          <w:sz w:val="22"/>
          <w:szCs w:val="22"/>
          <w:lang w:val="en-IE"/>
        </w:rPr>
        <w:t>The legal basis of this procedure is Regulation (EU) No </w:t>
      </w:r>
      <w:r w:rsidR="00A609E7" w:rsidRPr="00273AC9">
        <w:rPr>
          <w:iCs/>
          <w:sz w:val="22"/>
          <w:szCs w:val="22"/>
          <w:lang w:val="en-IE"/>
        </w:rPr>
        <w:t>2021/</w:t>
      </w:r>
      <w:r w:rsidR="009E5C83" w:rsidRPr="00273AC9">
        <w:rPr>
          <w:iCs/>
          <w:sz w:val="22"/>
          <w:szCs w:val="22"/>
          <w:lang w:val="en-IE"/>
        </w:rPr>
        <w:t>1529</w:t>
      </w:r>
      <w:r w:rsidRPr="00273AC9">
        <w:rPr>
          <w:iCs/>
          <w:sz w:val="22"/>
          <w:szCs w:val="22"/>
          <w:lang w:val="en-IE"/>
        </w:rPr>
        <w:t xml:space="preserve"> establishing the Instrument for Pre-accession Assistance (IPA III). </w:t>
      </w:r>
      <w:r w:rsidRPr="006D5FFD">
        <w:rPr>
          <w:iCs/>
          <w:sz w:val="22"/>
          <w:szCs w:val="22"/>
          <w:lang w:val="en-IE"/>
        </w:rPr>
        <w:t>See Annex A2</w:t>
      </w:r>
      <w:r w:rsidR="00A609E7" w:rsidRPr="006D5FFD">
        <w:rPr>
          <w:iCs/>
          <w:sz w:val="22"/>
          <w:szCs w:val="22"/>
          <w:lang w:val="en-IE"/>
        </w:rPr>
        <w:t>a1</w:t>
      </w:r>
      <w:r w:rsidRPr="006D5FFD">
        <w:rPr>
          <w:iCs/>
          <w:sz w:val="22"/>
          <w:szCs w:val="22"/>
          <w:lang w:val="en-IE"/>
        </w:rPr>
        <w:t xml:space="preserve"> of the practical guide.</w:t>
      </w:r>
    </w:p>
    <w:p w14:paraId="57544065" w14:textId="3FF61480" w:rsidR="00B9793F" w:rsidRPr="00273AC9" w:rsidRDefault="00B9793F" w:rsidP="00371C5B">
      <w:pPr>
        <w:pStyle w:val="paragraph"/>
        <w:spacing w:before="0" w:beforeAutospacing="0" w:after="120" w:afterAutospacing="0"/>
        <w:ind w:left="284"/>
        <w:jc w:val="both"/>
        <w:textAlignment w:val="baseline"/>
        <w:rPr>
          <w:iCs/>
          <w:sz w:val="22"/>
          <w:szCs w:val="22"/>
          <w:lang w:val="en-IE"/>
        </w:rPr>
      </w:pPr>
      <w:r w:rsidRPr="00273AC9">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273AC9">
        <w:rPr>
          <w:iCs/>
          <w:sz w:val="22"/>
          <w:szCs w:val="22"/>
          <w:lang w:val="en-IE"/>
        </w:rPr>
        <w:t>1</w:t>
      </w:r>
      <w:r w:rsidRPr="00273AC9">
        <w:rPr>
          <w:iCs/>
          <w:sz w:val="22"/>
          <w:szCs w:val="22"/>
          <w:lang w:val="en-IE"/>
        </w:rPr>
        <w:t xml:space="preserve"> of Regulation (EU) No </w:t>
      </w:r>
      <w:bookmarkStart w:id="1" w:name="_Hlk169257528"/>
      <w:r w:rsidR="00A609E7" w:rsidRPr="00273AC9">
        <w:rPr>
          <w:iCs/>
          <w:sz w:val="22"/>
          <w:szCs w:val="22"/>
          <w:lang w:val="en-IE"/>
        </w:rPr>
        <w:t>2021/</w:t>
      </w:r>
      <w:r w:rsidR="009E5C83" w:rsidRPr="00273AC9">
        <w:rPr>
          <w:iCs/>
          <w:sz w:val="22"/>
          <w:szCs w:val="22"/>
          <w:lang w:val="en-IE"/>
        </w:rPr>
        <w:t>1529</w:t>
      </w:r>
      <w:r w:rsidRPr="00273AC9">
        <w:rPr>
          <w:iCs/>
          <w:sz w:val="22"/>
          <w:szCs w:val="22"/>
          <w:lang w:val="en-IE"/>
        </w:rPr>
        <w:t xml:space="preserve">  </w:t>
      </w:r>
      <w:bookmarkEnd w:id="1"/>
      <w:r w:rsidRPr="00273AC9">
        <w:rPr>
          <w:iCs/>
          <w:sz w:val="22"/>
          <w:szCs w:val="22"/>
          <w:lang w:val="en-IE"/>
        </w:rPr>
        <w:t xml:space="preserve">establishing the Instrument for Pre-accession Assistance (IPA III). </w:t>
      </w:r>
    </w:p>
    <w:p w14:paraId="2AD533C5" w14:textId="77777777" w:rsidR="00F36AE6" w:rsidRPr="00273AC9" w:rsidRDefault="0092504E" w:rsidP="00371C5B">
      <w:pPr>
        <w:pStyle w:val="paragraph"/>
        <w:spacing w:before="0" w:beforeAutospacing="0" w:after="120" w:afterAutospacing="0"/>
        <w:ind w:left="284"/>
        <w:jc w:val="both"/>
        <w:textAlignment w:val="baseline"/>
        <w:rPr>
          <w:iCs/>
          <w:sz w:val="22"/>
          <w:szCs w:val="22"/>
          <w:lang w:val="en-IE"/>
        </w:rPr>
      </w:pPr>
      <w:r w:rsidRPr="00273AC9">
        <w:rPr>
          <w:iCs/>
          <w:sz w:val="22"/>
          <w:szCs w:val="22"/>
          <w:lang w:val="en-IE"/>
        </w:rPr>
        <w:t>Participation is also open to international and regional organisations.</w:t>
      </w:r>
    </w:p>
    <w:p w14:paraId="0FBCD630" w14:textId="46F8901C" w:rsidR="0092504E" w:rsidRPr="00273AC9" w:rsidRDefault="00F36AE6" w:rsidP="00371C5B">
      <w:pPr>
        <w:pStyle w:val="paragraph"/>
        <w:spacing w:before="0" w:beforeAutospacing="0" w:after="240" w:afterAutospacing="0"/>
        <w:ind w:left="284"/>
        <w:jc w:val="both"/>
        <w:textAlignment w:val="baseline"/>
        <w:rPr>
          <w:iCs/>
          <w:sz w:val="22"/>
          <w:szCs w:val="22"/>
          <w:lang w:val="en-IE"/>
        </w:rPr>
      </w:pPr>
      <w:r w:rsidRPr="00273AC9">
        <w:rPr>
          <w:iCs/>
          <w:sz w:val="22"/>
          <w:szCs w:val="22"/>
          <w:lang w:val="en-IE"/>
        </w:rPr>
        <w:t>All supplies under this contract may originate in any country</w:t>
      </w:r>
      <w:r w:rsidR="00273AC9" w:rsidRPr="00273AC9">
        <w:rPr>
          <w:iCs/>
          <w:sz w:val="22"/>
          <w:szCs w:val="22"/>
          <w:lang w:val="en-IE"/>
        </w:rPr>
        <w:t xml:space="preserve">. </w:t>
      </w:r>
    </w:p>
    <w:p w14:paraId="63522FC5" w14:textId="79686E64" w:rsidR="006F5FD0" w:rsidRPr="00371C5B" w:rsidRDefault="006F5FD0" w:rsidP="00371C5B">
      <w:pPr>
        <w:keepNext/>
        <w:widowControl/>
        <w:spacing w:before="240" w:after="120"/>
        <w:ind w:left="426" w:hanging="426"/>
        <w:outlineLvl w:val="0"/>
        <w:rPr>
          <w:rStyle w:val="Strong"/>
        </w:rPr>
      </w:pPr>
      <w:bookmarkStart w:id="2" w:name="_DV_M201"/>
      <w:bookmarkStart w:id="3" w:name="_DV_M224"/>
      <w:bookmarkStart w:id="4" w:name="_DV_M225"/>
      <w:bookmarkStart w:id="5" w:name="_DV_M226"/>
      <w:bookmarkStart w:id="6" w:name="_DV_M227"/>
      <w:bookmarkStart w:id="7" w:name="_DV_M229"/>
      <w:bookmarkStart w:id="8" w:name="_DV_M231"/>
      <w:bookmarkStart w:id="9" w:name="_DV_M232"/>
      <w:bookmarkStart w:id="10" w:name="_DV_M233"/>
      <w:bookmarkStart w:id="11" w:name="_DV_M234"/>
      <w:bookmarkStart w:id="12" w:name="_DV_M235"/>
      <w:bookmarkStart w:id="13" w:name="_DV_M236"/>
      <w:bookmarkStart w:id="14" w:name="_DV_M237"/>
      <w:bookmarkStart w:id="15" w:name="_DV_M238"/>
      <w:bookmarkEnd w:id="2"/>
      <w:bookmarkEnd w:id="3"/>
      <w:bookmarkEnd w:id="4"/>
      <w:bookmarkEnd w:id="5"/>
      <w:bookmarkEnd w:id="6"/>
      <w:bookmarkEnd w:id="7"/>
      <w:bookmarkEnd w:id="8"/>
      <w:bookmarkEnd w:id="9"/>
      <w:bookmarkEnd w:id="10"/>
      <w:bookmarkEnd w:id="11"/>
      <w:bookmarkEnd w:id="12"/>
      <w:bookmarkEnd w:id="13"/>
      <w:bookmarkEnd w:id="14"/>
      <w:bookmarkEnd w:id="15"/>
      <w:r w:rsidRPr="00B33EE6">
        <w:rPr>
          <w:rStyle w:val="Strong"/>
          <w:sz w:val="22"/>
          <w:szCs w:val="22"/>
          <w:lang w:val="en-GB"/>
        </w:rPr>
        <w:t>1</w:t>
      </w:r>
      <w:r w:rsidR="004563EB">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rsidP="00371C5B">
      <w:pPr>
        <w:pStyle w:val="Blockquote"/>
        <w:spacing w:before="0" w:after="120"/>
        <w:ind w:left="425" w:right="0"/>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365FF395"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54561F19" w:rsidR="006F5FD0" w:rsidRDefault="006F5FD0" w:rsidP="00371C5B">
      <w:pPr>
        <w:pStyle w:val="Blockquote"/>
        <w:spacing w:before="0" w:after="120"/>
        <w:ind w:left="425" w:right="0"/>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 xml:space="preserve">to the </w:t>
      </w:r>
      <w:r w:rsidR="00750FF8" w:rsidRPr="00B33EE6">
        <w:rPr>
          <w:sz w:val="22"/>
          <w:szCs w:val="22"/>
          <w:lang w:val="en-GB"/>
        </w:rPr>
        <w:lastRenderedPageBreak/>
        <w:t>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E128DF">
        <w:rPr>
          <w:sz w:val="22"/>
          <w:szCs w:val="22"/>
          <w:lang w:val="en-GB"/>
        </w:rPr>
        <w:t>4</w:t>
      </w:r>
      <w:r w:rsidRPr="00B33EE6">
        <w:rPr>
          <w:sz w:val="22"/>
          <w:szCs w:val="22"/>
          <w:lang w:val="en-GB"/>
        </w:rPr>
        <w:t>.</w:t>
      </w:r>
      <w:r w:rsidR="00E128DF">
        <w:rPr>
          <w:sz w:val="22"/>
          <w:szCs w:val="22"/>
          <w:lang w:val="en-GB"/>
        </w:rPr>
        <w:t>2</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E128DF">
        <w:rPr>
          <w:sz w:val="22"/>
          <w:szCs w:val="22"/>
          <w:lang w:val="en-GB"/>
        </w:rPr>
        <w:t>.</w:t>
      </w:r>
      <w:r w:rsidR="00E128DF" w:rsidRPr="00E128DF">
        <w:rPr>
          <w:sz w:val="22"/>
          <w:szCs w:val="22"/>
          <w:lang w:val="en-GB"/>
        </w:rPr>
        <w:t xml:space="preserve"> Where the tenderer intends to rely on capacity providing entities or subcontractor(s), he/she must provide the same declaration signed by this/these entity(</w:t>
      </w:r>
      <w:proofErr w:type="spellStart"/>
      <w:r w:rsidR="00E128DF" w:rsidRPr="00E128DF">
        <w:rPr>
          <w:sz w:val="22"/>
          <w:szCs w:val="22"/>
          <w:lang w:val="en-GB"/>
        </w:rPr>
        <w:t>ies</w:t>
      </w:r>
      <w:proofErr w:type="spellEnd"/>
      <w:r w:rsidR="00E128DF" w:rsidRPr="00E128DF">
        <w:rPr>
          <w:sz w:val="22"/>
          <w:szCs w:val="22"/>
          <w:lang w:val="en-GB"/>
        </w:rPr>
        <w:t>).</w:t>
      </w:r>
    </w:p>
    <w:p w14:paraId="7275ED88" w14:textId="5FCB0755" w:rsidR="0039147E" w:rsidRPr="00B33EE6" w:rsidRDefault="00C03AF5" w:rsidP="00371C5B">
      <w:pPr>
        <w:pStyle w:val="Blockquote"/>
        <w:spacing w:before="0" w:after="120"/>
        <w:ind w:left="425" w:right="0"/>
        <w:jc w:val="both"/>
        <w:rPr>
          <w:sz w:val="22"/>
          <w:szCs w:val="22"/>
          <w:lang w:val="en-GB"/>
        </w:rPr>
      </w:pPr>
      <w:r>
        <w:rPr>
          <w:sz w:val="22"/>
          <w:szCs w:val="22"/>
          <w:lang w:val="en-GB"/>
        </w:rPr>
        <w:t>Tenderer</w:t>
      </w:r>
      <w:r w:rsidR="0039147E">
        <w:rPr>
          <w:sz w:val="22"/>
          <w:szCs w:val="22"/>
          <w:lang w:val="en-GB"/>
        </w:rPr>
        <w:t xml:space="preserve"> included in the lists of EU restrictive measures</w:t>
      </w:r>
      <w:r w:rsidR="00F06A6A">
        <w:rPr>
          <w:rStyle w:val="FootnoteReference"/>
          <w:sz w:val="22"/>
          <w:szCs w:val="22"/>
          <w:lang w:val="en-GB"/>
        </w:rPr>
        <w:footnoteReference w:id="2"/>
      </w:r>
      <w:r w:rsidR="0039147E">
        <w:rPr>
          <w:sz w:val="22"/>
          <w:szCs w:val="22"/>
          <w:lang w:val="en-GB"/>
        </w:rPr>
        <w:t xml:space="preserve">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06F3E870"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391D26F8" w:rsidR="00E9047D" w:rsidRDefault="00000000" w:rsidP="00371C5B">
      <w:pPr>
        <w:pStyle w:val="Blockquote"/>
        <w:spacing w:before="0" w:after="480"/>
        <w:ind w:left="425" w:right="0"/>
        <w:jc w:val="both"/>
        <w:rPr>
          <w:rStyle w:val="Emphasis"/>
          <w:i w:val="0"/>
          <w:sz w:val="22"/>
          <w:szCs w:val="22"/>
          <w:lang w:val="en-GB"/>
        </w:rPr>
      </w:pPr>
      <w:r>
        <w:rPr>
          <w:snapToGrid/>
          <w:sz w:val="22"/>
          <w:szCs w:val="22"/>
          <w:lang w:val="en-GB"/>
        </w:rPr>
        <w:pict w14:anchorId="11F7E59B">
          <v:line id="_x0000_s2053" style="position:absolute;left:0;text-align:left;z-index:3" from="1.5pt,35.35pt" to="469.5pt,35.4pt" o:allowincell="f" strokecolor="#d4d4d4" strokeweight="1.75pt">
            <v:shadow on="t" origin=",32385f" offset="0,-1pt"/>
          </v:line>
        </w:pict>
      </w:r>
      <w:r w:rsidR="006D6080"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25473DDE" w:rsidR="006F5FD0" w:rsidRPr="00B33EE6" w:rsidRDefault="006F5FD0" w:rsidP="00347E84">
      <w:pPr>
        <w:keepNext/>
        <w:jc w:val="center"/>
        <w:rPr>
          <w:sz w:val="28"/>
          <w:szCs w:val="28"/>
          <w:lang w:val="en-GB"/>
        </w:rPr>
      </w:pPr>
      <w:r w:rsidRPr="00B33EE6">
        <w:rPr>
          <w:rStyle w:val="Strong"/>
          <w:sz w:val="28"/>
          <w:szCs w:val="28"/>
          <w:lang w:val="en-GB"/>
        </w:rPr>
        <w:t>PROVISIONAL TIMETABLE</w:t>
      </w:r>
    </w:p>
    <w:p w14:paraId="669BA67B" w14:textId="5628C8CF" w:rsidR="006F5FD0" w:rsidRPr="00371C5B" w:rsidRDefault="006F5FD0"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228D8DEE" w14:textId="1F5ADB40" w:rsidR="00273AC9" w:rsidRPr="00B33EE6" w:rsidRDefault="00273AC9" w:rsidP="00371C5B">
      <w:pPr>
        <w:pStyle w:val="Blockquote"/>
        <w:spacing w:before="0" w:after="120"/>
        <w:ind w:left="357" w:right="0"/>
        <w:jc w:val="both"/>
        <w:rPr>
          <w:i/>
          <w:sz w:val="22"/>
          <w:szCs w:val="22"/>
          <w:lang w:val="en-GB"/>
        </w:rPr>
      </w:pPr>
      <w:r w:rsidRPr="006850D8">
        <w:rPr>
          <w:rStyle w:val="Emphasis"/>
          <w:i w:val="0"/>
          <w:sz w:val="22"/>
          <w:szCs w:val="22"/>
          <w:lang w:val="en-GB"/>
        </w:rPr>
        <w:t>The commencement will start on the date of the contract signature by both parties.</w:t>
      </w:r>
    </w:p>
    <w:p w14:paraId="70B1A4AA" w14:textId="75AC88E9" w:rsidR="006F5FD0" w:rsidRPr="00371C5B" w:rsidRDefault="005639EC" w:rsidP="00371C5B">
      <w:pPr>
        <w:keepNext/>
        <w:widowControl/>
        <w:spacing w:before="240" w:after="120"/>
        <w:ind w:left="426" w:hanging="426"/>
        <w:outlineLvl w:val="0"/>
        <w:rPr>
          <w:rStyle w:val="Strong"/>
        </w:rPr>
      </w:pPr>
      <w:r w:rsidRPr="00B33EE6">
        <w:rPr>
          <w:rStyle w:val="Strong"/>
          <w:sz w:val="22"/>
          <w:szCs w:val="22"/>
          <w:lang w:val="en-GB"/>
        </w:rPr>
        <w:t>1</w:t>
      </w:r>
      <w:r w:rsidR="004563EB">
        <w:rPr>
          <w:rStyle w:val="Strong"/>
          <w:sz w:val="22"/>
          <w:szCs w:val="22"/>
          <w:lang w:val="en-GB"/>
        </w:rPr>
        <w:t>4</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3537A9F5" w:rsidR="006F5FD0" w:rsidRPr="00B33EE6" w:rsidRDefault="00273AC9" w:rsidP="00371C5B">
      <w:pPr>
        <w:pStyle w:val="Blockquote"/>
        <w:spacing w:before="0" w:after="120"/>
        <w:ind w:left="357" w:right="0"/>
        <w:jc w:val="both"/>
        <w:rPr>
          <w:i/>
          <w:sz w:val="22"/>
          <w:szCs w:val="22"/>
          <w:lang w:val="en-GB"/>
        </w:rPr>
      </w:pPr>
      <w:r>
        <w:rPr>
          <w:rStyle w:val="Emphasis"/>
          <w:i w:val="0"/>
          <w:sz w:val="22"/>
          <w:szCs w:val="22"/>
          <w:lang w:val="en-GB"/>
        </w:rPr>
        <w:t xml:space="preserve">5 months </w:t>
      </w:r>
    </w:p>
    <w:p w14:paraId="29CC7DD8" w14:textId="77777777" w:rsidR="006F5FD0" w:rsidRPr="00B33EE6" w:rsidRDefault="00000000" w:rsidP="00347E84">
      <w:pPr>
        <w:rPr>
          <w:sz w:val="22"/>
          <w:szCs w:val="22"/>
          <w:lang w:val="en-GB"/>
        </w:rPr>
      </w:pPr>
      <w:r>
        <w:rPr>
          <w:snapToGrid/>
          <w:sz w:val="22"/>
          <w:szCs w:val="22"/>
          <w:lang w:val="en-GB"/>
        </w:rPr>
        <w:pict w14:anchorId="6E3015B7">
          <v:line id="_x0000_s2054" style="position:absolute;z-index:4" from="0,18.75pt" to="468pt,18.8pt" o:allowincell="f" strokecolor="#d4d4d4" strokeweight="1.75pt">
            <v:shadow on="t" origin=",32385f" offset="0,-1pt"/>
          </v:line>
        </w:pict>
      </w:r>
    </w:p>
    <w:p w14:paraId="25048343" w14:textId="77777777" w:rsidR="006F5FD0" w:rsidRPr="00B33EE6" w:rsidRDefault="006F5FD0" w:rsidP="00347E84">
      <w:pPr>
        <w:jc w:val="center"/>
        <w:rPr>
          <w:sz w:val="28"/>
          <w:szCs w:val="28"/>
          <w:lang w:val="en-GB"/>
        </w:rPr>
      </w:pPr>
      <w:r w:rsidRPr="00B33EE6">
        <w:rPr>
          <w:rStyle w:val="Strong"/>
          <w:sz w:val="28"/>
          <w:szCs w:val="28"/>
          <w:lang w:val="en-GB"/>
        </w:rPr>
        <w:t>SELECTION AND AWARD CRITERIA</w:t>
      </w:r>
    </w:p>
    <w:p w14:paraId="392C793B" w14:textId="770D3912" w:rsidR="006F5FD0" w:rsidRDefault="005639EC" w:rsidP="00371C5B">
      <w:pPr>
        <w:keepNext/>
        <w:widowControl/>
        <w:spacing w:before="240" w:after="120"/>
        <w:ind w:left="425" w:hanging="425"/>
        <w:outlineLvl w:val="0"/>
        <w:rPr>
          <w:rStyle w:val="Strong"/>
          <w:sz w:val="22"/>
          <w:szCs w:val="22"/>
          <w:lang w:val="en-GB"/>
        </w:rPr>
      </w:pPr>
      <w:r w:rsidRPr="00B33EE6">
        <w:rPr>
          <w:rStyle w:val="Strong"/>
          <w:sz w:val="22"/>
          <w:szCs w:val="22"/>
          <w:lang w:val="en-GB"/>
        </w:rPr>
        <w:t>1</w:t>
      </w:r>
      <w:r w:rsidR="004563EB">
        <w:rPr>
          <w:rStyle w:val="Strong"/>
          <w:sz w:val="22"/>
          <w:szCs w:val="22"/>
          <w:lang w:val="en-GB"/>
        </w:rPr>
        <w:t>5</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Capacity-providing entities</w:t>
      </w:r>
    </w:p>
    <w:p w14:paraId="1677E155" w14:textId="77777777" w:rsidR="00831982" w:rsidRPr="00AE0634" w:rsidRDefault="00831982" w:rsidP="00371C5B">
      <w:pPr>
        <w:pStyle w:val="Blockquote"/>
        <w:spacing w:before="0" w:after="120"/>
        <w:ind w:left="425" w:right="0"/>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371C5B">
      <w:pPr>
        <w:pStyle w:val="Blockquote"/>
        <w:spacing w:before="0" w:after="120"/>
        <w:ind w:left="425" w:right="0"/>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2C410C11" w14:textId="03C063D0" w:rsidR="00831982" w:rsidRPr="00B33EE6" w:rsidRDefault="00831982" w:rsidP="00371C5B">
      <w:pPr>
        <w:widowControl/>
        <w:spacing w:before="0" w:after="120"/>
        <w:ind w:left="425"/>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Default="006F5FD0" w:rsidP="00371C5B">
      <w:pPr>
        <w:pStyle w:val="Blockquote"/>
        <w:ind w:left="425" w:right="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371C5B">
        <w:rPr>
          <w:b/>
          <w:bCs/>
          <w:sz w:val="22"/>
          <w:szCs w:val="22"/>
          <w:lang w:val="en-GB"/>
        </w:rPr>
        <w:t xml:space="preserve">. </w:t>
      </w:r>
      <w:r w:rsidRPr="00371C5B">
        <w:rPr>
          <w:b/>
          <w:bCs/>
          <w:sz w:val="22"/>
          <w:szCs w:val="22"/>
          <w:lang w:val="en-GB"/>
        </w:rPr>
        <w:t xml:space="preserve">In the case of </w:t>
      </w:r>
      <w:r w:rsidR="005639EC" w:rsidRPr="00371C5B">
        <w:rPr>
          <w:b/>
          <w:bCs/>
          <w:sz w:val="22"/>
          <w:szCs w:val="22"/>
          <w:lang w:val="en-GB"/>
        </w:rPr>
        <w:t>tenders</w:t>
      </w:r>
      <w:r w:rsidRPr="00371C5B">
        <w:rPr>
          <w:b/>
          <w:bCs/>
          <w:sz w:val="22"/>
          <w:szCs w:val="22"/>
          <w:lang w:val="en-GB"/>
        </w:rPr>
        <w:t xml:space="preserve"> submitted by a consortium, these selection criteria will be applied to the consortium </w:t>
      </w:r>
      <w:proofErr w:type="gramStart"/>
      <w:r w:rsidRPr="00371C5B">
        <w:rPr>
          <w:b/>
          <w:bCs/>
          <w:sz w:val="22"/>
          <w:szCs w:val="22"/>
          <w:lang w:val="en-GB"/>
        </w:rPr>
        <w:t>as a whole</w:t>
      </w:r>
      <w:r w:rsidR="006751D2" w:rsidRPr="00371C5B">
        <w:rPr>
          <w:b/>
          <w:bCs/>
          <w:sz w:val="22"/>
          <w:szCs w:val="22"/>
          <w:lang w:val="en-GB"/>
        </w:rPr>
        <w:t xml:space="preserve"> if</w:t>
      </w:r>
      <w:proofErr w:type="gramEnd"/>
      <w:r w:rsidR="006751D2" w:rsidRPr="00371C5B">
        <w:rPr>
          <w:b/>
          <w:bCs/>
          <w:sz w:val="22"/>
          <w:szCs w:val="22"/>
          <w:lang w:val="en-GB"/>
        </w:rPr>
        <w:t xml:space="preserve"> not </w:t>
      </w:r>
      <w:r w:rsidR="006751D2" w:rsidRPr="00371C5B">
        <w:rPr>
          <w:b/>
          <w:bCs/>
          <w:sz w:val="22"/>
          <w:szCs w:val="22"/>
          <w:lang w:val="en-GB"/>
        </w:rPr>
        <w:lastRenderedPageBreak/>
        <w:t>specified otherwise</w:t>
      </w:r>
      <w:r w:rsidR="006751D2" w:rsidRPr="00B33EE6">
        <w:rPr>
          <w:sz w:val="22"/>
          <w:szCs w:val="22"/>
          <w:lang w:val="en-GB"/>
        </w:rPr>
        <w:t>. The selection criteria will not be applied to natural persons and single-member companies when they are sub-contractors.</w:t>
      </w:r>
    </w:p>
    <w:p w14:paraId="7E591805" w14:textId="2EE6B645" w:rsidR="00D06A30" w:rsidRDefault="00D06A30" w:rsidP="00371C5B">
      <w:pPr>
        <w:pStyle w:val="Blockquote"/>
        <w:ind w:left="425" w:right="0"/>
        <w:jc w:val="both"/>
        <w:rPr>
          <w:sz w:val="22"/>
          <w:szCs w:val="22"/>
          <w:lang w:val="en-GB"/>
        </w:rPr>
      </w:pPr>
      <w:r w:rsidRPr="004916FF">
        <w:rPr>
          <w:sz w:val="22"/>
          <w:szCs w:val="22"/>
          <w:lang w:val="en-GB"/>
        </w:rPr>
        <w:t xml:space="preserve">The </w:t>
      </w:r>
      <w:r>
        <w:rPr>
          <w:sz w:val="22"/>
          <w:szCs w:val="22"/>
          <w:lang w:val="en-GB"/>
        </w:rPr>
        <w:t>tenderer</w:t>
      </w:r>
      <w:r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6F15199D" w14:textId="6339CB07" w:rsidR="00287536" w:rsidRPr="00273AC9" w:rsidRDefault="00287536" w:rsidP="00371C5B">
      <w:pPr>
        <w:widowControl/>
        <w:spacing w:before="120" w:after="120"/>
        <w:ind w:left="425" w:firstLine="357"/>
        <w:jc w:val="both"/>
        <w:outlineLvl w:val="3"/>
        <w:rPr>
          <w:sz w:val="22"/>
          <w:szCs w:val="22"/>
          <w:lang w:val="en-GB"/>
        </w:rPr>
      </w:pPr>
      <w:r w:rsidRPr="00273AC9">
        <w:rPr>
          <w:sz w:val="22"/>
          <w:szCs w:val="22"/>
          <w:lang w:val="en-GB"/>
        </w:rPr>
        <w:t>The selection criteria for each tenderer are as follows:</w:t>
      </w:r>
    </w:p>
    <w:p w14:paraId="53A16187" w14:textId="60E05DE7" w:rsidR="006F5FD0" w:rsidRDefault="006F5FD0" w:rsidP="00371C5B">
      <w:pPr>
        <w:pStyle w:val="Blockquote"/>
        <w:numPr>
          <w:ilvl w:val="0"/>
          <w:numId w:val="45"/>
        </w:numPr>
        <w:tabs>
          <w:tab w:val="left" w:pos="851"/>
        </w:tabs>
        <w:ind w:left="851" w:right="0" w:hanging="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w:t>
      </w:r>
      <w:r w:rsidR="006751D2" w:rsidRPr="00371C5B">
        <w:rPr>
          <w:b/>
          <w:bCs/>
          <w:sz w:val="22"/>
          <w:szCs w:val="22"/>
          <w:lang w:val="en-GB"/>
        </w:rPr>
        <w:t xml:space="preserve">the last three </w:t>
      </w:r>
      <w:r w:rsidR="00D51C7E" w:rsidRPr="00371C5B">
        <w:rPr>
          <w:b/>
          <w:bCs/>
          <w:sz w:val="22"/>
          <w:szCs w:val="22"/>
          <w:lang w:val="en-GB"/>
        </w:rPr>
        <w:t xml:space="preserve">financial </w:t>
      </w:r>
      <w:r w:rsidR="006751D2" w:rsidRPr="00371C5B">
        <w:rPr>
          <w:b/>
          <w:bCs/>
          <w:sz w:val="22"/>
          <w:szCs w:val="22"/>
          <w:lang w:val="en-GB"/>
        </w:rPr>
        <w:t>years for which accounts have been closed.</w:t>
      </w:r>
    </w:p>
    <w:p w14:paraId="4435C5EE" w14:textId="2A71C3BC" w:rsidR="006F5FD0" w:rsidRPr="00B33EE6" w:rsidRDefault="006F5FD0" w:rsidP="00371C5B">
      <w:pPr>
        <w:ind w:left="425"/>
        <w:rPr>
          <w:b/>
          <w:sz w:val="22"/>
          <w:szCs w:val="22"/>
          <w:lang w:val="en-GB"/>
        </w:rPr>
      </w:pPr>
    </w:p>
    <w:p w14:paraId="696EDB30" w14:textId="77777777" w:rsidR="00273AC9" w:rsidRPr="006850D8" w:rsidRDefault="00273AC9" w:rsidP="00273AC9">
      <w:pPr>
        <w:widowControl/>
        <w:numPr>
          <w:ilvl w:val="0"/>
          <w:numId w:val="36"/>
        </w:numPr>
        <w:spacing w:before="120" w:after="0"/>
        <w:ind w:right="-48"/>
        <w:jc w:val="both"/>
        <w:rPr>
          <w:sz w:val="22"/>
          <w:szCs w:val="22"/>
          <w:lang w:val="en-GB"/>
        </w:rPr>
      </w:pPr>
      <w:r>
        <w:rPr>
          <w:sz w:val="22"/>
          <w:szCs w:val="22"/>
          <w:lang w:val="en-GB"/>
        </w:rPr>
        <w:t>The</w:t>
      </w:r>
      <w:r w:rsidRPr="006850D8">
        <w:rPr>
          <w:sz w:val="22"/>
          <w:szCs w:val="22"/>
          <w:lang w:val="en-GB"/>
        </w:rPr>
        <w:t xml:space="preserve"> average annual turnover of the candidate or tenderer for the years 2024, 2023 and 2022</w:t>
      </w:r>
      <w:r w:rsidRPr="006850D8">
        <w:rPr>
          <w:lang w:val="en-GB"/>
        </w:rPr>
        <w:t xml:space="preserve"> </w:t>
      </w:r>
      <w:r w:rsidRPr="006850D8">
        <w:rPr>
          <w:sz w:val="22"/>
          <w:szCs w:val="22"/>
          <w:lang w:val="en-GB"/>
        </w:rPr>
        <w:t xml:space="preserve">must be equal </w:t>
      </w:r>
      <w:r w:rsidRPr="006850D8">
        <w:rPr>
          <w:b/>
          <w:bCs/>
          <w:sz w:val="22"/>
          <w:szCs w:val="22"/>
          <w:lang w:val="en-GB"/>
        </w:rPr>
        <w:t>to the budget of the Tenderer’s financial offer</w:t>
      </w:r>
      <w:r w:rsidRPr="006850D8">
        <w:rPr>
          <w:sz w:val="22"/>
          <w:szCs w:val="22"/>
          <w:lang w:val="en-GB"/>
        </w:rPr>
        <w:t>.</w:t>
      </w:r>
      <w:r w:rsidRPr="006850D8" w:rsidDel="006E3521">
        <w:rPr>
          <w:sz w:val="22"/>
          <w:szCs w:val="22"/>
          <w:lang w:val="en-GB"/>
        </w:rPr>
        <w:t xml:space="preserve"> </w:t>
      </w:r>
    </w:p>
    <w:p w14:paraId="4AD01E10" w14:textId="77777777" w:rsidR="00273AC9" w:rsidRDefault="00273AC9" w:rsidP="00371C5B">
      <w:pPr>
        <w:pStyle w:val="Blockquote"/>
        <w:ind w:left="709" w:right="0" w:hanging="284"/>
        <w:jc w:val="both"/>
        <w:rPr>
          <w:b/>
          <w:sz w:val="22"/>
          <w:szCs w:val="22"/>
          <w:lang w:val="en-GB"/>
        </w:rPr>
      </w:pPr>
    </w:p>
    <w:p w14:paraId="5D762B00" w14:textId="159D3392" w:rsidR="006F5FD0" w:rsidRPr="00B33EE6" w:rsidRDefault="00571687" w:rsidP="00371C5B">
      <w:pPr>
        <w:pStyle w:val="Blockquote"/>
        <w:ind w:left="709" w:right="0" w:hanging="284"/>
        <w:jc w:val="both"/>
        <w:rPr>
          <w:sz w:val="22"/>
          <w:szCs w:val="22"/>
          <w:lang w:val="en-GB"/>
        </w:rPr>
      </w:pPr>
      <w:r w:rsidRPr="00371C5B">
        <w:rPr>
          <w:b/>
          <w:sz w:val="22"/>
          <w:szCs w:val="22"/>
          <w:lang w:val="en-GB"/>
        </w:rPr>
        <w:t>2)</w:t>
      </w:r>
      <w:r w:rsidRPr="00371C5B">
        <w:rPr>
          <w:sz w:val="22"/>
          <w:szCs w:val="22"/>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w:t>
      </w:r>
      <w:r w:rsidR="00287536">
        <w:rPr>
          <w:sz w:val="22"/>
          <w:szCs w:val="22"/>
          <w:lang w:val="en-GB"/>
        </w:rPr>
        <w:t xml:space="preserve">and 5 </w:t>
      </w:r>
      <w:r w:rsidR="00087A72" w:rsidRPr="00B33EE6">
        <w:rPr>
          <w:sz w:val="22"/>
          <w:szCs w:val="22"/>
          <w:lang w:val="en-GB"/>
        </w:rPr>
        <w:t xml:space="preserve">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371C5B" w:rsidRDefault="00BE08EC" w:rsidP="00371C5B">
      <w:pPr>
        <w:pStyle w:val="Blockquote"/>
        <w:ind w:left="431" w:right="0" w:hanging="6"/>
        <w:jc w:val="both"/>
        <w:rPr>
          <w:b/>
          <w:bCs/>
          <w:sz w:val="22"/>
          <w:szCs w:val="22"/>
          <w:lang w:val="en-GB"/>
        </w:rPr>
      </w:pPr>
      <w:r w:rsidRPr="00B33EE6">
        <w:rPr>
          <w:sz w:val="22"/>
          <w:szCs w:val="22"/>
          <w:lang w:val="en-GB"/>
        </w:rPr>
        <w:t xml:space="preserve">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w:t>
      </w:r>
      <w:r w:rsidRPr="00371C5B">
        <w:rPr>
          <w:b/>
          <w:bCs/>
          <w:sz w:val="22"/>
          <w:szCs w:val="22"/>
          <w:lang w:val="en-GB"/>
        </w:rPr>
        <w:t>the last three</w:t>
      </w:r>
      <w:r w:rsidR="00862885" w:rsidRPr="00371C5B">
        <w:rPr>
          <w:b/>
          <w:bCs/>
          <w:sz w:val="22"/>
          <w:szCs w:val="22"/>
          <w:lang w:val="en-GB"/>
        </w:rPr>
        <w:t xml:space="preserve"> years </w:t>
      </w:r>
      <w:r w:rsidR="00771F97" w:rsidRPr="00371C5B">
        <w:rPr>
          <w:b/>
          <w:bCs/>
          <w:sz w:val="22"/>
          <w:szCs w:val="22"/>
          <w:lang w:val="en-GB"/>
        </w:rPr>
        <w:t>preceding the</w:t>
      </w:r>
      <w:r w:rsidRPr="00371C5B">
        <w:rPr>
          <w:b/>
          <w:bCs/>
          <w:sz w:val="22"/>
          <w:szCs w:val="22"/>
          <w:lang w:val="en-GB"/>
        </w:rPr>
        <w:t xml:space="preserve"> submission deadline.</w:t>
      </w:r>
    </w:p>
    <w:p w14:paraId="0ABB4E52" w14:textId="77777777" w:rsidR="00273AC9" w:rsidRPr="006850D8" w:rsidRDefault="00273AC9" w:rsidP="00273AC9">
      <w:pPr>
        <w:pStyle w:val="Blockquote"/>
        <w:numPr>
          <w:ilvl w:val="0"/>
          <w:numId w:val="34"/>
        </w:numPr>
        <w:tabs>
          <w:tab w:val="clear" w:pos="360"/>
          <w:tab w:val="num" w:pos="720"/>
        </w:tabs>
        <w:ind w:left="720"/>
        <w:jc w:val="both"/>
        <w:rPr>
          <w:sz w:val="22"/>
          <w:szCs w:val="22"/>
          <w:lang w:val="en-GB"/>
        </w:rPr>
      </w:pPr>
      <w:r w:rsidRPr="006850D8">
        <w:rPr>
          <w:sz w:val="22"/>
          <w:szCs w:val="22"/>
          <w:lang w:val="en-GB"/>
        </w:rPr>
        <w:t xml:space="preserve">at least 1 (one) staff currently work for the tenderer in fields related to this </w:t>
      </w:r>
      <w:proofErr w:type="gramStart"/>
      <w:r w:rsidRPr="006850D8">
        <w:rPr>
          <w:sz w:val="22"/>
          <w:szCs w:val="22"/>
          <w:lang w:val="en-GB"/>
        </w:rPr>
        <w:t>contract;</w:t>
      </w:r>
      <w:proofErr w:type="gramEnd"/>
      <w:r w:rsidRPr="006850D8">
        <w:rPr>
          <w:sz w:val="22"/>
          <w:szCs w:val="22"/>
          <w:lang w:val="en-GB"/>
        </w:rPr>
        <w:t xml:space="preserve"> </w:t>
      </w:r>
    </w:p>
    <w:p w14:paraId="0DBDBC29" w14:textId="77777777" w:rsidR="00273AC9" w:rsidRDefault="00273AC9" w:rsidP="00371C5B">
      <w:pPr>
        <w:pStyle w:val="Blockquote"/>
        <w:ind w:left="782" w:right="0" w:hanging="357"/>
        <w:jc w:val="both"/>
        <w:rPr>
          <w:b/>
          <w:sz w:val="22"/>
          <w:szCs w:val="22"/>
          <w:lang w:val="en-GB"/>
        </w:rPr>
      </w:pPr>
    </w:p>
    <w:p w14:paraId="05E75179" w14:textId="6F735283" w:rsidR="00BE08EC" w:rsidRDefault="00571687" w:rsidP="00371C5B">
      <w:pPr>
        <w:pStyle w:val="Blockquote"/>
        <w:ind w:left="782" w:right="0" w:hanging="357"/>
        <w:jc w:val="both"/>
        <w:rPr>
          <w:sz w:val="22"/>
          <w:szCs w:val="22"/>
          <w:lang w:val="en-GB"/>
        </w:rPr>
      </w:pPr>
      <w:r w:rsidRPr="00371C5B">
        <w:rPr>
          <w:b/>
          <w:sz w:val="22"/>
          <w:szCs w:val="22"/>
          <w:lang w:val="en-GB"/>
        </w:rPr>
        <w:t>3)</w:t>
      </w:r>
      <w:r w:rsidRPr="00371C5B">
        <w:rPr>
          <w:b/>
          <w:sz w:val="22"/>
          <w:szCs w:val="22"/>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w:t>
      </w:r>
      <w:proofErr w:type="gramStart"/>
      <w:r w:rsidR="00BE08EC" w:rsidRPr="00B33EE6">
        <w:rPr>
          <w:sz w:val="22"/>
          <w:szCs w:val="22"/>
          <w:lang w:val="en-GB"/>
        </w:rPr>
        <w:t>taken into account</w:t>
      </w:r>
      <w:proofErr w:type="gramEnd"/>
      <w:r w:rsidR="00BE08EC" w:rsidRPr="00B33EE6">
        <w:rPr>
          <w:sz w:val="22"/>
          <w:szCs w:val="22"/>
          <w:lang w:val="en-GB"/>
        </w:rPr>
        <w:t xml:space="preserve"> will be the last </w:t>
      </w:r>
      <w:r w:rsidR="00690B62">
        <w:rPr>
          <w:sz w:val="22"/>
          <w:szCs w:val="22"/>
          <w:lang w:val="en-GB"/>
        </w:rPr>
        <w:t>five</w:t>
      </w:r>
      <w:r w:rsidR="00862885" w:rsidRPr="00690B62">
        <w:rPr>
          <w:sz w:val="22"/>
          <w:szCs w:val="22"/>
          <w:lang w:val="en-GB"/>
        </w:rPr>
        <w:t xml:space="preserve"> years</w:t>
      </w:r>
      <w:r w:rsidR="00690B62">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6D3B74AF" w14:textId="77777777" w:rsidR="00690B62" w:rsidRPr="00B33EE6" w:rsidRDefault="00690B62" w:rsidP="00371C5B">
      <w:pPr>
        <w:pStyle w:val="Blockquote"/>
        <w:ind w:left="782" w:right="0" w:hanging="357"/>
        <w:jc w:val="both"/>
        <w:rPr>
          <w:sz w:val="22"/>
          <w:szCs w:val="22"/>
          <w:lang w:val="en-GB"/>
        </w:rPr>
      </w:pPr>
    </w:p>
    <w:p w14:paraId="3FC18FAE" w14:textId="55361891" w:rsidR="00690B62" w:rsidRPr="006850D8" w:rsidRDefault="00BE783C" w:rsidP="00690B62">
      <w:pPr>
        <w:pStyle w:val="Blockquote"/>
        <w:numPr>
          <w:ilvl w:val="0"/>
          <w:numId w:val="47"/>
        </w:numPr>
        <w:ind w:right="26"/>
        <w:jc w:val="both"/>
        <w:rPr>
          <w:b/>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E81C0B">
        <w:rPr>
          <w:sz w:val="22"/>
          <w:szCs w:val="22"/>
          <w:lang w:val="en-GB"/>
        </w:rPr>
        <w:t>delivered supplies</w:t>
      </w:r>
      <w:r w:rsidR="001661F7" w:rsidRPr="00B33EE6">
        <w:rPr>
          <w:sz w:val="22"/>
          <w:szCs w:val="22"/>
          <w:lang w:val="en-GB"/>
        </w:rPr>
        <w:t xml:space="preserve"> under </w:t>
      </w:r>
      <w:r w:rsidRPr="00B33EE6">
        <w:rPr>
          <w:sz w:val="22"/>
          <w:szCs w:val="22"/>
          <w:lang w:val="en-GB"/>
        </w:rPr>
        <w:t xml:space="preserve">at least </w:t>
      </w:r>
      <w:r w:rsidR="00690B62">
        <w:rPr>
          <w:sz w:val="22"/>
          <w:szCs w:val="22"/>
          <w:lang w:val="en-GB"/>
        </w:rPr>
        <w:t>1</w:t>
      </w:r>
      <w:r w:rsidRPr="00B33EE6">
        <w:rPr>
          <w:sz w:val="22"/>
          <w:szCs w:val="22"/>
          <w:lang w:val="en-GB"/>
        </w:rPr>
        <w:t xml:space="preserve"> </w:t>
      </w:r>
      <w:r w:rsidR="001661F7" w:rsidRPr="00B33EE6">
        <w:rPr>
          <w:sz w:val="22"/>
          <w:szCs w:val="22"/>
          <w:lang w:val="en-GB"/>
        </w:rPr>
        <w:t>contract</w:t>
      </w:r>
      <w:r w:rsidR="00690B62">
        <w:rPr>
          <w:sz w:val="22"/>
          <w:szCs w:val="22"/>
          <w:lang w:val="en-GB"/>
        </w:rPr>
        <w:t xml:space="preserve"> </w:t>
      </w:r>
      <w:r w:rsidR="00690B62" w:rsidRPr="006850D8">
        <w:rPr>
          <w:sz w:val="22"/>
          <w:szCs w:val="22"/>
          <w:lang w:val="en-GB"/>
        </w:rPr>
        <w:t xml:space="preserve">and at most 10 contracts </w:t>
      </w:r>
      <w:r w:rsidRPr="00B33EE6">
        <w:rPr>
          <w:sz w:val="22"/>
          <w:szCs w:val="22"/>
          <w:lang w:val="en-GB"/>
        </w:rPr>
        <w:t xml:space="preserve">with a budget of at least </w:t>
      </w:r>
      <w:r w:rsidR="00690B62" w:rsidRPr="006850D8">
        <w:rPr>
          <w:sz w:val="22"/>
          <w:szCs w:val="22"/>
          <w:lang w:val="en-GB"/>
        </w:rPr>
        <w:t xml:space="preserve">that of its financial offer in fields </w:t>
      </w:r>
      <w:proofErr w:type="gramStart"/>
      <w:r w:rsidR="00690B62" w:rsidRPr="006850D8">
        <w:rPr>
          <w:sz w:val="22"/>
          <w:szCs w:val="22"/>
          <w:lang w:val="en-GB"/>
        </w:rPr>
        <w:t>similar to</w:t>
      </w:r>
      <w:proofErr w:type="gramEnd"/>
      <w:r w:rsidR="00690B62" w:rsidRPr="006850D8">
        <w:rPr>
          <w:sz w:val="22"/>
          <w:szCs w:val="22"/>
          <w:lang w:val="en-GB"/>
        </w:rPr>
        <w:t xml:space="preserve"> or related to this procurement</w:t>
      </w:r>
      <w:r w:rsidR="00690B62">
        <w:rPr>
          <w:sz w:val="22"/>
          <w:szCs w:val="22"/>
          <w:lang w:val="en-GB"/>
        </w:rPr>
        <w:t xml:space="preserve"> </w:t>
      </w:r>
      <w:r w:rsidR="00690B62" w:rsidRPr="006850D8">
        <w:rPr>
          <w:sz w:val="22"/>
          <w:szCs w:val="22"/>
          <w:lang w:val="en-GB"/>
        </w:rPr>
        <w:t xml:space="preserve">which was implemented at any moment during the reference period: </w:t>
      </w:r>
      <w:r w:rsidR="00690B62">
        <w:rPr>
          <w:sz w:val="22"/>
          <w:szCs w:val="22"/>
          <w:lang w:val="en-GB"/>
        </w:rPr>
        <w:t xml:space="preserve">the </w:t>
      </w:r>
      <w:r w:rsidR="00690B62" w:rsidRPr="006850D8">
        <w:rPr>
          <w:b/>
          <w:bCs/>
          <w:sz w:val="22"/>
          <w:szCs w:val="22"/>
          <w:lang w:val="en-GB"/>
        </w:rPr>
        <w:t xml:space="preserve">last </w:t>
      </w:r>
      <w:r w:rsidR="00690B62">
        <w:rPr>
          <w:b/>
          <w:bCs/>
          <w:color w:val="000000"/>
          <w:sz w:val="22"/>
          <w:szCs w:val="22"/>
          <w:lang w:val="en-GB"/>
        </w:rPr>
        <w:t>five</w:t>
      </w:r>
      <w:r w:rsidR="00690B62" w:rsidRPr="006850D8">
        <w:rPr>
          <w:b/>
          <w:bCs/>
          <w:sz w:val="22"/>
          <w:szCs w:val="22"/>
          <w:lang w:val="en-GB"/>
        </w:rPr>
        <w:t xml:space="preserve"> years.</w:t>
      </w:r>
      <w:r w:rsidR="00690B62" w:rsidRPr="006850D8">
        <w:rPr>
          <w:sz w:val="22"/>
          <w:szCs w:val="22"/>
          <w:lang w:val="en-GB"/>
        </w:rPr>
        <w:t xml:space="preserve"> </w:t>
      </w:r>
    </w:p>
    <w:p w14:paraId="67053663" w14:textId="170E0C85" w:rsidR="00CB2A5B" w:rsidRDefault="00CB2A5B" w:rsidP="00371C5B">
      <w:pPr>
        <w:pStyle w:val="Blockquote"/>
        <w:tabs>
          <w:tab w:val="left" w:pos="284"/>
        </w:tabs>
        <w:ind w:left="425" w:right="0"/>
        <w:jc w:val="both"/>
        <w:rPr>
          <w:sz w:val="22"/>
          <w:szCs w:val="22"/>
          <w:lang w:val="en-GB"/>
        </w:rPr>
      </w:pPr>
      <w:r w:rsidRPr="00CB2A5B">
        <w:rPr>
          <w:sz w:val="22"/>
          <w:szCs w:val="22"/>
          <w:lang w:val="en-GB"/>
        </w:rPr>
        <w:t xml:space="preserve">This means that the contract the tenderer refers to could have been </w:t>
      </w:r>
      <w:r w:rsidR="002065E9">
        <w:rPr>
          <w:sz w:val="22"/>
          <w:szCs w:val="22"/>
          <w:lang w:val="en-GB"/>
        </w:rPr>
        <w:t>implemented</w:t>
      </w:r>
      <w:r w:rsidR="002065E9" w:rsidRPr="00CB2A5B" w:rsidDel="002065E9">
        <w:rPr>
          <w:sz w:val="22"/>
          <w:szCs w:val="22"/>
          <w:lang w:val="en-GB"/>
        </w:rPr>
        <w:t xml:space="preserve"> </w:t>
      </w:r>
      <w:r w:rsidRPr="00CB2A5B">
        <w:rPr>
          <w:sz w:val="22"/>
          <w:szCs w:val="22"/>
          <w:lang w:val="en-GB"/>
        </w:rPr>
        <w:t xml:space="preserve">at any time during the indicated </w:t>
      </w:r>
      <w:proofErr w:type="gramStart"/>
      <w:r w:rsidRPr="00CB2A5B">
        <w:rPr>
          <w:sz w:val="22"/>
          <w:szCs w:val="22"/>
          <w:lang w:val="en-GB"/>
        </w:rPr>
        <w:t>period</w:t>
      </w:r>
      <w:proofErr w:type="gramEnd"/>
      <w:r w:rsidRPr="00CB2A5B">
        <w:rPr>
          <w:sz w:val="22"/>
          <w:szCs w:val="22"/>
          <w:lang w:val="en-GB"/>
        </w:rPr>
        <w:t xml:space="preserve"> but it does not necessarily have to be completed during that period, nor implemented during the entire period. Tenderers are allowed to refer either to supply contracts completed within the reference period (although started earlier) or to supply contracts </w:t>
      </w:r>
      <w:r w:rsidR="002065E9" w:rsidRPr="002065E9">
        <w:rPr>
          <w:sz w:val="22"/>
          <w:szCs w:val="22"/>
          <w:lang w:val="en-GB"/>
        </w:rPr>
        <w:t xml:space="preserve">partially implemented during, but </w:t>
      </w:r>
      <w:r w:rsidRPr="00CB2A5B">
        <w:rPr>
          <w:sz w:val="22"/>
          <w:szCs w:val="22"/>
          <w:lang w:val="en-GB"/>
        </w:rPr>
        <w:t>not yet completed</w:t>
      </w:r>
      <w:r w:rsidR="002065E9">
        <w:rPr>
          <w:sz w:val="22"/>
          <w:szCs w:val="22"/>
          <w:lang w:val="en-GB"/>
        </w:rPr>
        <w:t xml:space="preserve"> within the reference period</w:t>
      </w:r>
      <w:r w:rsidRPr="00CB2A5B">
        <w:rPr>
          <w:sz w:val="22"/>
          <w:szCs w:val="22"/>
          <w:lang w:val="en-GB"/>
        </w:rPr>
        <w:t>. Only the p</w:t>
      </w:r>
      <w:r w:rsidR="002065E9">
        <w:rPr>
          <w:sz w:val="22"/>
          <w:szCs w:val="22"/>
          <w:lang w:val="en-GB"/>
        </w:rPr>
        <w:t>a</w:t>
      </w:r>
      <w:r w:rsidRPr="00CB2A5B">
        <w:rPr>
          <w:sz w:val="22"/>
          <w:szCs w:val="22"/>
          <w:lang w:val="en-GB"/>
        </w:rPr>
        <w:t>rt completed during the reference period will be taken into consideration. This p</w:t>
      </w:r>
      <w:r w:rsidR="002065E9">
        <w:rPr>
          <w:sz w:val="22"/>
          <w:szCs w:val="22"/>
          <w:lang w:val="en-GB"/>
        </w:rPr>
        <w:t>art</w:t>
      </w:r>
      <w:r w:rsidRPr="00CB2A5B">
        <w:rPr>
          <w:sz w:val="22"/>
          <w:szCs w:val="22"/>
          <w:lang w:val="en-GB"/>
        </w:rPr>
        <w:t xml:space="preserve"> will have to be supported by documentary evidence (</w:t>
      </w:r>
      <w:r w:rsidR="002065E9" w:rsidRPr="005C26A3">
        <w:rPr>
          <w:sz w:val="22"/>
          <w:szCs w:val="22"/>
          <w:lang w:val="en-GB"/>
        </w:rPr>
        <w:t xml:space="preserve">approval of report or </w:t>
      </w:r>
      <w:r w:rsidR="002065E9">
        <w:rPr>
          <w:sz w:val="22"/>
          <w:szCs w:val="22"/>
          <w:lang w:val="en-GB"/>
        </w:rPr>
        <w:t>deliverable</w:t>
      </w:r>
      <w:r w:rsidR="002065E9" w:rsidRPr="005C26A3">
        <w:rPr>
          <w:sz w:val="22"/>
          <w:szCs w:val="22"/>
          <w:lang w:val="en-GB"/>
        </w:rPr>
        <w:t xml:space="preserve">, proof of payment, </w:t>
      </w:r>
      <w:r w:rsidRPr="00CB2A5B">
        <w:rPr>
          <w:sz w:val="22"/>
          <w:szCs w:val="22"/>
          <w:lang w:val="en-GB"/>
        </w:rPr>
        <w:t>statement or certificate from the entity which awarded the contract) also detailing its value. If a tenderer has implemented the supply contract in a consortium, the percentage that the tenderer has successfully completed must be clear from the documentary evidence</w:t>
      </w:r>
      <w:r w:rsidR="002065E9">
        <w:rPr>
          <w:sz w:val="22"/>
          <w:szCs w:val="22"/>
          <w:lang w:val="en-GB"/>
        </w:rPr>
        <w:t xml:space="preserve"> </w:t>
      </w:r>
      <w:r w:rsidR="002065E9" w:rsidRPr="005C26A3">
        <w:rPr>
          <w:sz w:val="22"/>
          <w:szCs w:val="22"/>
          <w:lang w:val="en-GB"/>
        </w:rPr>
        <w:t>(such as consortium agreement and bank transfers between consortium members</w:t>
      </w:r>
      <w:r w:rsidR="002065E9">
        <w:rPr>
          <w:sz w:val="22"/>
          <w:szCs w:val="22"/>
          <w:lang w:val="en-GB"/>
        </w:rPr>
        <w:t>)</w:t>
      </w:r>
      <w:r w:rsidRPr="00CB2A5B">
        <w:rPr>
          <w:sz w:val="22"/>
          <w:szCs w:val="22"/>
          <w:lang w:val="en-GB"/>
        </w:rPr>
        <w:t>, together with a description of the nature of the supplies provided.</w:t>
      </w:r>
    </w:p>
    <w:p w14:paraId="36FE5E2E" w14:textId="76250C06"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90581D">
        <w:rPr>
          <w:rStyle w:val="Strong"/>
          <w:sz w:val="22"/>
          <w:szCs w:val="22"/>
          <w:lang w:val="en-GB"/>
        </w:rPr>
        <w:t>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44296387" w:rsidR="006F5FD0" w:rsidRPr="00B33EE6" w:rsidRDefault="00831982" w:rsidP="00371C5B">
      <w:pPr>
        <w:pStyle w:val="Blockquote"/>
        <w:spacing w:before="0"/>
        <w:ind w:left="425" w:right="0"/>
        <w:jc w:val="both"/>
        <w:rPr>
          <w:sz w:val="22"/>
          <w:szCs w:val="22"/>
          <w:lang w:val="en-GB"/>
        </w:rPr>
      </w:pPr>
      <w:r w:rsidRPr="003F1149">
        <w:rPr>
          <w:sz w:val="22"/>
          <w:szCs w:val="22"/>
          <w:lang w:val="en-GB"/>
        </w:rPr>
        <w:t>Price</w:t>
      </w:r>
      <w:r>
        <w:rPr>
          <w:sz w:val="22"/>
          <w:szCs w:val="22"/>
          <w:lang w:val="en-GB"/>
        </w:rPr>
        <w:t>.</w:t>
      </w:r>
    </w:p>
    <w:p w14:paraId="793B56EE" w14:textId="77777777" w:rsidR="006F5FD0" w:rsidRPr="00B33EE6" w:rsidRDefault="00000000" w:rsidP="00347E84">
      <w:pPr>
        <w:rPr>
          <w:sz w:val="22"/>
          <w:szCs w:val="22"/>
          <w:lang w:val="en-GB"/>
        </w:rPr>
      </w:pPr>
      <w:r>
        <w:rPr>
          <w:snapToGrid/>
          <w:sz w:val="22"/>
          <w:szCs w:val="22"/>
          <w:lang w:val="en-GB"/>
        </w:rPr>
        <w:lastRenderedPageBreak/>
        <w:pict w14:anchorId="45BE0657">
          <v:line id="_x0000_s2055" style="position:absolute;z-index:5" from="0,12pt" to="468pt,12.05pt" o:allowincell="f" strokecolor="#d4d4d4" strokeweight="1.75pt">
            <v:shadow on="t" origin=",32385f" offset="0,-1pt"/>
          </v:line>
        </w:pict>
      </w:r>
    </w:p>
    <w:p w14:paraId="7482CE23" w14:textId="77777777" w:rsidR="006F5FD0" w:rsidRPr="00B33EE6" w:rsidRDefault="00994EA3" w:rsidP="00347E84">
      <w:pPr>
        <w:keepNext/>
        <w:jc w:val="center"/>
        <w:rPr>
          <w:sz w:val="28"/>
          <w:szCs w:val="28"/>
          <w:lang w:val="en-GB"/>
        </w:rPr>
      </w:pPr>
      <w:r w:rsidRPr="00B33EE6">
        <w:rPr>
          <w:rStyle w:val="Strong"/>
          <w:sz w:val="28"/>
          <w:szCs w:val="28"/>
          <w:lang w:val="en-GB"/>
        </w:rPr>
        <w:t>TENDERING</w:t>
      </w:r>
    </w:p>
    <w:p w14:paraId="592B0149" w14:textId="212E2889"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02240E6" w:rsidR="006F5FD0" w:rsidRPr="00B33EE6" w:rsidRDefault="00994EA3" w:rsidP="00371C5B">
      <w:pPr>
        <w:pStyle w:val="Blockquote"/>
        <w:spacing w:before="40" w:after="60"/>
        <w:ind w:left="425" w:right="0"/>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690B62">
        <w:rPr>
          <w:bCs/>
          <w:color w:val="000000"/>
          <w:sz w:val="22"/>
          <w:szCs w:val="22"/>
          <w:lang w:val="en-GB"/>
        </w:rPr>
        <w:t>25.04.2025, (Serbia) local time 12:00 (a.m.).</w:t>
      </w:r>
    </w:p>
    <w:p w14:paraId="7D60F8E6" w14:textId="62D49E53" w:rsidR="006F5FD0" w:rsidRPr="00371C5B" w:rsidRDefault="00994EA3" w:rsidP="00371C5B">
      <w:pPr>
        <w:keepNext/>
        <w:widowControl/>
        <w:spacing w:before="240" w:after="120"/>
        <w:ind w:left="426" w:hanging="426"/>
        <w:outlineLvl w:val="0"/>
        <w:rPr>
          <w:rStyle w:val="Strong"/>
        </w:rPr>
      </w:pPr>
      <w:r w:rsidRPr="00B33EE6">
        <w:rPr>
          <w:rStyle w:val="Strong"/>
          <w:sz w:val="22"/>
          <w:szCs w:val="22"/>
          <w:lang w:val="en-GB"/>
        </w:rPr>
        <w:t>1</w:t>
      </w:r>
      <w:r w:rsidR="00033EFD">
        <w:rPr>
          <w:rStyle w:val="Strong"/>
          <w:sz w:val="22"/>
          <w:szCs w:val="22"/>
          <w:lang w:val="en-GB"/>
        </w:rPr>
        <w:t>8</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371C5B">
      <w:pPr>
        <w:pStyle w:val="Blockquote"/>
        <w:spacing w:before="40" w:after="60"/>
        <w:ind w:left="425" w:right="0"/>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371C5B">
      <w:pPr>
        <w:pStyle w:val="Blockquote"/>
        <w:ind w:left="425" w:right="0"/>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CACE45" w:rsidR="004D5EDB" w:rsidRPr="00886ED7" w:rsidRDefault="00886ED7" w:rsidP="00371C5B">
      <w:pPr>
        <w:pStyle w:val="Blockquote"/>
        <w:ind w:left="425" w:right="0"/>
        <w:jc w:val="both"/>
        <w:rPr>
          <w:sz w:val="22"/>
          <w:szCs w:val="22"/>
          <w:lang w:val="en-GB"/>
        </w:rPr>
      </w:pPr>
      <w:hyperlink r:id="rId8"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rsidP="00371C5B">
      <w:pPr>
        <w:pStyle w:val="Blockquote"/>
        <w:ind w:left="425" w:right="0"/>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40FAD56E" w:rsidR="006F5FD0" w:rsidRPr="00371C5B" w:rsidRDefault="00033EFD" w:rsidP="00371C5B">
      <w:pPr>
        <w:keepNext/>
        <w:widowControl/>
        <w:spacing w:before="240" w:after="120"/>
        <w:ind w:left="426" w:hanging="426"/>
        <w:outlineLvl w:val="0"/>
        <w:rPr>
          <w:rStyle w:val="Strong"/>
        </w:rPr>
      </w:pPr>
      <w:r>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How </w:t>
      </w:r>
      <w:r w:rsidR="006714ED" w:rsidRPr="00B33EE6">
        <w:rPr>
          <w:rStyle w:val="Strong"/>
          <w:sz w:val="22"/>
          <w:szCs w:val="22"/>
          <w:lang w:val="en-GB"/>
        </w:rPr>
        <w:t>tenders</w:t>
      </w:r>
      <w:r w:rsidR="006F5FD0" w:rsidRPr="00B33EE6">
        <w:rPr>
          <w:rStyle w:val="Strong"/>
          <w:sz w:val="22"/>
          <w:szCs w:val="22"/>
          <w:lang w:val="en-GB"/>
        </w:rPr>
        <w:t xml:space="preserve"> may be submitted</w:t>
      </w:r>
    </w:p>
    <w:p w14:paraId="7919897A" w14:textId="6CB53E63" w:rsidR="006F5FD0" w:rsidRPr="00B33EE6" w:rsidRDefault="006714ED" w:rsidP="00371C5B">
      <w:pPr>
        <w:pStyle w:val="Blockquote"/>
        <w:spacing w:before="40" w:after="120"/>
        <w:ind w:left="425" w:right="0"/>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enderers.</w:t>
      </w:r>
    </w:p>
    <w:p w14:paraId="63BBF791" w14:textId="77777777" w:rsidR="00EF03C9" w:rsidRPr="00B33EE6" w:rsidRDefault="006714ED" w:rsidP="00371C5B">
      <w:pPr>
        <w:pStyle w:val="Blockquote"/>
        <w:spacing w:before="0" w:after="120"/>
        <w:ind w:left="425" w:right="0"/>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2CED2608" w:rsidR="00502BBF" w:rsidRPr="00B33EE6" w:rsidRDefault="00502BBF" w:rsidP="00371C5B">
      <w:pPr>
        <w:pStyle w:val="Blockquote"/>
        <w:spacing w:before="40" w:after="120"/>
        <w:ind w:left="425" w:right="0"/>
        <w:jc w:val="both"/>
        <w:rPr>
          <w:rStyle w:val="Strong"/>
          <w:b w:val="0"/>
          <w:sz w:val="22"/>
          <w:szCs w:val="22"/>
          <w:lang w:val="en-GB"/>
        </w:rPr>
      </w:pPr>
      <w:r w:rsidRPr="00B33EE6">
        <w:rPr>
          <w:sz w:val="22"/>
          <w:szCs w:val="22"/>
          <w:lang w:val="en-GB"/>
        </w:rPr>
        <w:t>By submitting a tender</w:t>
      </w:r>
      <w:r w:rsidR="00DA388D">
        <w:rPr>
          <w:sz w:val="22"/>
          <w:szCs w:val="22"/>
          <w:lang w:val="en-GB"/>
        </w:rPr>
        <w:t>,</w:t>
      </w:r>
      <w:r w:rsidRPr="00B33EE6">
        <w:rPr>
          <w:sz w:val="22"/>
          <w:szCs w:val="22"/>
          <w:lang w:val="en-GB"/>
        </w:rPr>
        <w:t xml:space="preserve"> tenderers accept to receive notification of the outcome of the procedure by electronic means.</w:t>
      </w:r>
    </w:p>
    <w:p w14:paraId="78DFA6DC" w14:textId="002747CA" w:rsidR="003262FC"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t>2</w:t>
      </w:r>
      <w:r w:rsidR="00033EFD">
        <w:rPr>
          <w:rStyle w:val="Strong"/>
          <w:sz w:val="22"/>
          <w:szCs w:val="22"/>
          <w:lang w:val="en-GB"/>
        </w:rPr>
        <w:t>0</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71C5B">
      <w:pPr>
        <w:pStyle w:val="Blockquote"/>
        <w:spacing w:before="40" w:after="120"/>
        <w:ind w:left="425" w:right="0"/>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371C5B">
      <w:pPr>
        <w:pStyle w:val="Blockquote"/>
        <w:spacing w:before="0" w:after="120"/>
        <w:ind w:left="425" w:right="0"/>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DF9D28B" w:rsidR="006F5FD0" w:rsidRPr="00371C5B" w:rsidRDefault="003262FC" w:rsidP="00371C5B">
      <w:pPr>
        <w:keepNext/>
        <w:widowControl/>
        <w:spacing w:before="240" w:after="120"/>
        <w:ind w:left="426" w:hanging="426"/>
        <w:outlineLvl w:val="0"/>
        <w:rPr>
          <w:rStyle w:val="Strong"/>
        </w:rPr>
      </w:pPr>
      <w:r w:rsidRPr="00B33EE6">
        <w:rPr>
          <w:rStyle w:val="Strong"/>
          <w:sz w:val="22"/>
          <w:szCs w:val="22"/>
          <w:lang w:val="en-GB"/>
        </w:rPr>
        <w:t>2</w:t>
      </w:r>
      <w:r w:rsidR="00033EFD">
        <w:rPr>
          <w:rStyle w:val="Strong"/>
          <w:sz w:val="22"/>
          <w:szCs w:val="22"/>
          <w:lang w:val="en-GB"/>
        </w:rPr>
        <w:t>1</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rsidP="00371C5B">
      <w:pPr>
        <w:pStyle w:val="Blockquote"/>
        <w:spacing w:before="40" w:after="120"/>
        <w:ind w:left="425" w:right="0"/>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7F95E190" w:rsidR="00E9047D" w:rsidRPr="00371C5B" w:rsidRDefault="00326B16" w:rsidP="00371C5B">
      <w:pPr>
        <w:keepNext/>
        <w:widowControl/>
        <w:spacing w:before="240" w:after="120"/>
        <w:ind w:left="426" w:hanging="426"/>
        <w:outlineLvl w:val="0"/>
        <w:rPr>
          <w:rStyle w:val="Strong"/>
        </w:rPr>
      </w:pPr>
      <w:r w:rsidRPr="00371C5B">
        <w:rPr>
          <w:rStyle w:val="Strong"/>
        </w:rPr>
        <w:t>2</w:t>
      </w:r>
      <w:r w:rsidR="00033EFD">
        <w:rPr>
          <w:rStyle w:val="Strong"/>
        </w:rPr>
        <w:t>2</w:t>
      </w:r>
      <w:r w:rsidR="008272C0" w:rsidRPr="00371C5B">
        <w:rPr>
          <w:rStyle w:val="Strong"/>
        </w:rPr>
        <w:t>.</w:t>
      </w:r>
      <w:r w:rsidR="00FD5083">
        <w:rPr>
          <w:rStyle w:val="Strong"/>
        </w:rPr>
        <w:tab/>
      </w:r>
      <w:r w:rsidR="00E9047D" w:rsidRPr="00371C5B">
        <w:rPr>
          <w:rStyle w:val="Strong"/>
        </w:rPr>
        <w:t>Additional information</w:t>
      </w:r>
    </w:p>
    <w:p w14:paraId="7A5C8404" w14:textId="1EA147A1" w:rsidR="00AF412E" w:rsidRPr="008660AD" w:rsidRDefault="00AF412E" w:rsidP="00371C5B">
      <w:pPr>
        <w:widowControl/>
        <w:snapToGrid w:val="0"/>
        <w:spacing w:after="120"/>
        <w:ind w:left="425"/>
        <w:jc w:val="both"/>
        <w:rPr>
          <w:sz w:val="22"/>
          <w:szCs w:val="22"/>
          <w:lang w:val="en-GB"/>
        </w:rPr>
      </w:pPr>
      <w:r w:rsidRPr="00690B62">
        <w:rPr>
          <w:sz w:val="22"/>
          <w:szCs w:val="22"/>
          <w:lang w:val="en-GB"/>
        </w:rPr>
        <w:t xml:space="preserve">Financial data to be provided by the candidate in the standard application </w:t>
      </w:r>
      <w:proofErr w:type="gramStart"/>
      <w:r w:rsidRPr="00690B62">
        <w:rPr>
          <w:sz w:val="22"/>
          <w:szCs w:val="22"/>
          <w:lang w:val="en-GB"/>
        </w:rPr>
        <w:t>form  must</w:t>
      </w:r>
      <w:proofErr w:type="gramEnd"/>
      <w:r w:rsidRPr="00690B62">
        <w:rPr>
          <w:sz w:val="22"/>
          <w:szCs w:val="22"/>
          <w:lang w:val="en-GB"/>
        </w:rPr>
        <w:t xml:space="preserve"> be expressed in [EUR] </w:t>
      </w:r>
      <w:r w:rsidR="00690B62" w:rsidRPr="00690B62">
        <w:rPr>
          <w:sz w:val="22"/>
          <w:szCs w:val="22"/>
          <w:lang w:val="en-GB"/>
        </w:rPr>
        <w:t xml:space="preserve"> or RSD. </w:t>
      </w:r>
      <w:r w:rsidRPr="00690B62">
        <w:rPr>
          <w:sz w:val="22"/>
          <w:szCs w:val="22"/>
          <w:lang w:val="en-GB"/>
        </w:rPr>
        <w:t xml:space="preserve">If applicable, where a candidate refers to amounts originally expressed in a different currency, the conversion to [EUR] </w:t>
      </w:r>
      <w:r w:rsidR="00690B62" w:rsidRPr="00690B62">
        <w:rPr>
          <w:sz w:val="22"/>
          <w:szCs w:val="22"/>
          <w:lang w:val="en-GB"/>
        </w:rPr>
        <w:t xml:space="preserve">or RSD </w:t>
      </w:r>
      <w:r w:rsidRPr="00690B62">
        <w:rPr>
          <w:sz w:val="22"/>
          <w:szCs w:val="22"/>
          <w:lang w:val="en-GB"/>
        </w:rPr>
        <w:t xml:space="preserve"> shall be made in accordance with the InforEuro exchange rate of</w:t>
      </w:r>
      <w:r w:rsidR="00690B62" w:rsidRPr="00690B62">
        <w:rPr>
          <w:sz w:val="22"/>
          <w:szCs w:val="22"/>
          <w:lang w:val="en-GB"/>
        </w:rPr>
        <w:t xml:space="preserve"> March</w:t>
      </w:r>
      <w:r w:rsidRPr="00690B62">
        <w:rPr>
          <w:b/>
          <w:sz w:val="22"/>
          <w:szCs w:val="22"/>
          <w:lang w:val="en-GB"/>
        </w:rPr>
        <w:t xml:space="preserve"> </w:t>
      </w:r>
      <w:r w:rsidR="00690B62" w:rsidRPr="00690B62">
        <w:rPr>
          <w:b/>
          <w:sz w:val="22"/>
          <w:szCs w:val="22"/>
          <w:lang w:val="en-GB"/>
        </w:rPr>
        <w:t xml:space="preserve">2025, </w:t>
      </w:r>
      <w:r w:rsidRPr="00690B62">
        <w:rPr>
          <w:sz w:val="22"/>
          <w:szCs w:val="22"/>
          <w:lang w:val="en-GB"/>
        </w:rPr>
        <w:t>of the applicable InforEuro exchange rate, which can either correspond to the month and year of the publication of the present contract notice or the month and year corresponding to the deadline for submitting applications],</w:t>
      </w:r>
      <w:r w:rsidRPr="008660AD">
        <w:rPr>
          <w:sz w:val="22"/>
          <w:szCs w:val="22"/>
          <w:lang w:val="en-GB"/>
        </w:rPr>
        <w:t xml:space="preserve"> which can be found at the following address: </w:t>
      </w:r>
      <w:hyperlink r:id="rId9" w:history="1">
        <w:r w:rsidRPr="008660AD">
          <w:rPr>
            <w:rStyle w:val="Hyperlink"/>
            <w:sz w:val="22"/>
            <w:szCs w:val="22"/>
            <w:lang w:val="en-GB"/>
          </w:rPr>
          <w:t>http://ec.europa.eu/budget/graphs/inforeuro.html</w:t>
        </w:r>
      </w:hyperlink>
      <w:r w:rsidRPr="008660AD">
        <w:rPr>
          <w:sz w:val="22"/>
          <w:szCs w:val="22"/>
          <w:lang w:val="en-GB"/>
        </w:rPr>
        <w:t>.</w:t>
      </w:r>
    </w:p>
    <w:sectPr w:rsidR="00AF412E" w:rsidRPr="008660AD" w:rsidSect="00E147D3">
      <w:headerReference w:type="even" r:id="rId10"/>
      <w:headerReference w:type="default" r:id="rId11"/>
      <w:footerReference w:type="even" r:id="rId12"/>
      <w:footerReference w:type="default" r:id="rId13"/>
      <w:headerReference w:type="first" r:id="rId14"/>
      <w:footerReference w:type="firs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6E6C3" w14:textId="77777777" w:rsidR="005203F9" w:rsidRDefault="005203F9">
      <w:r>
        <w:separator/>
      </w:r>
    </w:p>
  </w:endnote>
  <w:endnote w:type="continuationSeparator" w:id="0">
    <w:p w14:paraId="1F14A69F" w14:textId="77777777" w:rsidR="005203F9" w:rsidRDefault="00520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0031B" w14:textId="77777777" w:rsidR="00371C5B" w:rsidRDefault="00371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292A5E0F" w:rsidR="00EF0A8C" w:rsidRPr="00B33EE6" w:rsidRDefault="00FD5083" w:rsidP="00F9055E">
    <w:pPr>
      <w:pStyle w:val="Footer"/>
      <w:tabs>
        <w:tab w:val="clear" w:pos="4320"/>
        <w:tab w:val="clear" w:pos="8640"/>
        <w:tab w:val="right" w:pos="9214"/>
      </w:tabs>
      <w:spacing w:before="120" w:after="0"/>
      <w:rPr>
        <w:b/>
        <w:sz w:val="20"/>
        <w:lang w:val="en-GB"/>
      </w:rPr>
    </w:pPr>
    <w:r>
      <w:rPr>
        <w:b/>
        <w:sz w:val="20"/>
      </w:rPr>
      <w:t>202</w:t>
    </w:r>
    <w:r w:rsidR="00C640A4">
      <w:rPr>
        <w:b/>
        <w:sz w:val="20"/>
      </w:rPr>
      <w:t>5</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2A0EDC76" w:rsidR="00EF0A8C" w:rsidRPr="00B33EE6" w:rsidRDefault="00FD5083" w:rsidP="00FD5083">
    <w:pPr>
      <w:pStyle w:val="Footer"/>
      <w:spacing w:before="0" w:after="0"/>
      <w:rPr>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C640A4">
      <w:rPr>
        <w:noProof/>
        <w:sz w:val="18"/>
        <w:szCs w:val="18"/>
        <w:lang w:val="en-GB"/>
      </w:rPr>
      <w:t>c2_contractnotice_simp_neg_en.docx</w:t>
    </w:r>
    <w:r>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9E838" w14:textId="77777777" w:rsidR="00371C5B" w:rsidRDefault="00371C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FE05A" w14:textId="77777777" w:rsidR="005203F9" w:rsidRDefault="005203F9">
      <w:r>
        <w:separator/>
      </w:r>
    </w:p>
  </w:footnote>
  <w:footnote w:type="continuationSeparator" w:id="0">
    <w:p w14:paraId="2CBA277F" w14:textId="77777777" w:rsidR="005203F9" w:rsidRDefault="005203F9">
      <w:r>
        <w:continuationSeparator/>
      </w:r>
    </w:p>
  </w:footnote>
  <w:footnote w:id="1">
    <w:p w14:paraId="1AF8407E" w14:textId="3551235F" w:rsidR="000B14E4" w:rsidRPr="000B14E4" w:rsidRDefault="000B14E4" w:rsidP="00371C5B">
      <w:pPr>
        <w:pStyle w:val="FootnoteText"/>
        <w:spacing w:before="0" w:after="0"/>
        <w:ind w:left="142" w:hanging="142"/>
      </w:pPr>
      <w:r>
        <w:rPr>
          <w:rStyle w:val="FootnoteReference"/>
        </w:rPr>
        <w:footnoteRef/>
      </w:r>
      <w:r w:rsidR="002845CD">
        <w:tab/>
      </w:r>
      <w:r w:rsidR="009E5C83">
        <w:t>Regulation (EU) 2021/1529 of the European Parliament and of the Council of 15 September 2021 establishing the Instrument for Pre-Accession assistance (IPA III); OJ L 330, 20.9.2021, p. 1</w:t>
      </w:r>
      <w:r w:rsidR="009E5C83" w:rsidRPr="003D2CB4">
        <w:t>–</w:t>
      </w:r>
      <w:r w:rsidR="009E5C83">
        <w:t>26</w:t>
      </w:r>
      <w:r w:rsidR="009E5C83">
        <w:rPr>
          <w:lang w:val="en-GB"/>
        </w:rPr>
        <w:t>.</w:t>
      </w:r>
    </w:p>
  </w:footnote>
  <w:footnote w:id="2">
    <w:p w14:paraId="0AE5234C" w14:textId="090A2C47" w:rsidR="00F06A6A" w:rsidRPr="00371C5B" w:rsidRDefault="00F06A6A" w:rsidP="00371C5B">
      <w:pPr>
        <w:pStyle w:val="FootnoteText"/>
        <w:ind w:left="284" w:hanging="284"/>
        <w:jc w:val="both"/>
        <w:rPr>
          <w:lang w:val="en-IE"/>
        </w:rPr>
      </w:pPr>
      <w:r>
        <w:rPr>
          <w:rStyle w:val="FootnoteReference"/>
        </w:rPr>
        <w:footnoteRef/>
      </w:r>
      <w:r w:rsidR="004563EB">
        <w:tab/>
      </w:r>
      <w:r w:rsidRPr="005C423F">
        <w:rPr>
          <w:sz w:val="18"/>
          <w:szCs w:val="18"/>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rPr>
          <w:t>EU Sanctions Map</w:t>
        </w:r>
      </w:hyperlink>
      <w:r w:rsidRPr="005C423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A7B4E" w14:textId="77777777" w:rsidR="00371C5B" w:rsidRDefault="00371C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A43FC" w14:textId="77777777" w:rsidR="00371C5B" w:rsidRDefault="00371C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06EA" w14:textId="77777777" w:rsidR="00371C5B" w:rsidRDefault="00371C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BEF7F76"/>
    <w:multiLevelType w:val="hybridMultilevel"/>
    <w:tmpl w:val="415A91EC"/>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5E093A22"/>
    <w:multiLevelType w:val="hybridMultilevel"/>
    <w:tmpl w:val="B20AAA7A"/>
    <w:lvl w:ilvl="0" w:tplc="04090001">
      <w:start w:val="1"/>
      <w:numFmt w:val="bullet"/>
      <w:lvlText w:val=""/>
      <w:lvlJc w:val="left"/>
      <w:pPr>
        <w:ind w:left="1437" w:hanging="360"/>
      </w:pPr>
      <w:rPr>
        <w:rFonts w:ascii="Symbol" w:hAnsi="Symbo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364714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6932769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5736281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60538617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3307679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2545592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907154549">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52751817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5520600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772483209">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53041134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28554959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489905446">
    <w:abstractNumId w:val="17"/>
  </w:num>
  <w:num w:numId="14" w16cid:durableId="900941718">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488911817">
    <w:abstractNumId w:val="13"/>
  </w:num>
  <w:num w:numId="16" w16cid:durableId="1487865913">
    <w:abstractNumId w:val="15"/>
  </w:num>
  <w:num w:numId="17" w16cid:durableId="149881319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041082875">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39030006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1728127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0847919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11694319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59232381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88259760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375207154">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150170389">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561257859">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430275874">
    <w:abstractNumId w:val="27"/>
  </w:num>
  <w:num w:numId="29" w16cid:durableId="1988319320">
    <w:abstractNumId w:val="27"/>
  </w:num>
  <w:num w:numId="30" w16cid:durableId="703988421">
    <w:abstractNumId w:val="27"/>
  </w:num>
  <w:num w:numId="31" w16cid:durableId="1100031049">
    <w:abstractNumId w:val="27"/>
  </w:num>
  <w:num w:numId="32" w16cid:durableId="1046174258">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710451612">
    <w:abstractNumId w:val="36"/>
  </w:num>
  <w:num w:numId="34" w16cid:durableId="109445180">
    <w:abstractNumId w:val="42"/>
  </w:num>
  <w:num w:numId="35" w16cid:durableId="1194658249">
    <w:abstractNumId w:val="35"/>
  </w:num>
  <w:num w:numId="36" w16cid:durableId="504172728">
    <w:abstractNumId w:val="33"/>
  </w:num>
  <w:num w:numId="37" w16cid:durableId="1419789896">
    <w:abstractNumId w:val="37"/>
  </w:num>
  <w:num w:numId="38" w16cid:durableId="903875536">
    <w:abstractNumId w:val="39"/>
  </w:num>
  <w:num w:numId="39" w16cid:durableId="819006310">
    <w:abstractNumId w:val="44"/>
  </w:num>
  <w:num w:numId="40" w16cid:durableId="808743279">
    <w:abstractNumId w:val="46"/>
  </w:num>
  <w:num w:numId="41" w16cid:durableId="2073497912">
    <w:abstractNumId w:val="41"/>
  </w:num>
  <w:num w:numId="42" w16cid:durableId="2004434630">
    <w:abstractNumId w:val="43"/>
  </w:num>
  <w:num w:numId="43" w16cid:durableId="515850950">
    <w:abstractNumId w:val="38"/>
  </w:num>
  <w:num w:numId="44" w16cid:durableId="1728451762">
    <w:abstractNumId w:val="34"/>
  </w:num>
  <w:num w:numId="45" w16cid:durableId="799767343">
    <w:abstractNumId w:val="47"/>
  </w:num>
  <w:num w:numId="46" w16cid:durableId="1744791229">
    <w:abstractNumId w:val="40"/>
  </w:num>
  <w:num w:numId="47" w16cid:durableId="191215728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3EFD"/>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72785"/>
    <w:rsid w:val="00180D47"/>
    <w:rsid w:val="001903F3"/>
    <w:rsid w:val="001951FE"/>
    <w:rsid w:val="001A59BB"/>
    <w:rsid w:val="001A66C2"/>
    <w:rsid w:val="001B2571"/>
    <w:rsid w:val="001C21A2"/>
    <w:rsid w:val="001C64F1"/>
    <w:rsid w:val="001D19A6"/>
    <w:rsid w:val="001D55F7"/>
    <w:rsid w:val="001D7B2B"/>
    <w:rsid w:val="001E50A2"/>
    <w:rsid w:val="001F0839"/>
    <w:rsid w:val="001F1546"/>
    <w:rsid w:val="001F780C"/>
    <w:rsid w:val="00201320"/>
    <w:rsid w:val="002065E9"/>
    <w:rsid w:val="002078BB"/>
    <w:rsid w:val="00212656"/>
    <w:rsid w:val="00213E14"/>
    <w:rsid w:val="00216179"/>
    <w:rsid w:val="00226829"/>
    <w:rsid w:val="00233B9D"/>
    <w:rsid w:val="00233DDA"/>
    <w:rsid w:val="00235A71"/>
    <w:rsid w:val="002413EA"/>
    <w:rsid w:val="00243849"/>
    <w:rsid w:val="002575AA"/>
    <w:rsid w:val="00266EB9"/>
    <w:rsid w:val="00273AC9"/>
    <w:rsid w:val="002753AD"/>
    <w:rsid w:val="002845CD"/>
    <w:rsid w:val="00287536"/>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47E84"/>
    <w:rsid w:val="003574F5"/>
    <w:rsid w:val="00357E25"/>
    <w:rsid w:val="00362824"/>
    <w:rsid w:val="00363ECB"/>
    <w:rsid w:val="00364564"/>
    <w:rsid w:val="003670BA"/>
    <w:rsid w:val="003717BC"/>
    <w:rsid w:val="00371C5B"/>
    <w:rsid w:val="003861D9"/>
    <w:rsid w:val="0038633F"/>
    <w:rsid w:val="00386E96"/>
    <w:rsid w:val="0038796E"/>
    <w:rsid w:val="0039147E"/>
    <w:rsid w:val="00391D5F"/>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3EB"/>
    <w:rsid w:val="004567DF"/>
    <w:rsid w:val="00472630"/>
    <w:rsid w:val="00473883"/>
    <w:rsid w:val="00476D80"/>
    <w:rsid w:val="00480B5C"/>
    <w:rsid w:val="00480C87"/>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03F9"/>
    <w:rsid w:val="005328D4"/>
    <w:rsid w:val="0054183B"/>
    <w:rsid w:val="005462B4"/>
    <w:rsid w:val="00551429"/>
    <w:rsid w:val="00553C32"/>
    <w:rsid w:val="0056183E"/>
    <w:rsid w:val="005635F3"/>
    <w:rsid w:val="005639EC"/>
    <w:rsid w:val="00565A69"/>
    <w:rsid w:val="00571687"/>
    <w:rsid w:val="00572F15"/>
    <w:rsid w:val="00573F7A"/>
    <w:rsid w:val="00584BF4"/>
    <w:rsid w:val="00584D96"/>
    <w:rsid w:val="0058528E"/>
    <w:rsid w:val="00590ADB"/>
    <w:rsid w:val="005A21DC"/>
    <w:rsid w:val="005B35A2"/>
    <w:rsid w:val="005B4F80"/>
    <w:rsid w:val="005B5E3C"/>
    <w:rsid w:val="005C71EF"/>
    <w:rsid w:val="005D41DD"/>
    <w:rsid w:val="005F0AF0"/>
    <w:rsid w:val="005F776D"/>
    <w:rsid w:val="0060359F"/>
    <w:rsid w:val="0061336A"/>
    <w:rsid w:val="006277AA"/>
    <w:rsid w:val="006309DE"/>
    <w:rsid w:val="00632BDC"/>
    <w:rsid w:val="0064390B"/>
    <w:rsid w:val="00663C6D"/>
    <w:rsid w:val="006714ED"/>
    <w:rsid w:val="006738B9"/>
    <w:rsid w:val="00674F9C"/>
    <w:rsid w:val="006751D2"/>
    <w:rsid w:val="006770CA"/>
    <w:rsid w:val="00686C3A"/>
    <w:rsid w:val="00690B62"/>
    <w:rsid w:val="00697F82"/>
    <w:rsid w:val="006A0598"/>
    <w:rsid w:val="006A66DA"/>
    <w:rsid w:val="006A7394"/>
    <w:rsid w:val="006B2EDA"/>
    <w:rsid w:val="006B59B9"/>
    <w:rsid w:val="006C0EB6"/>
    <w:rsid w:val="006C0F37"/>
    <w:rsid w:val="006C2024"/>
    <w:rsid w:val="006D330F"/>
    <w:rsid w:val="006D5FFD"/>
    <w:rsid w:val="006D6080"/>
    <w:rsid w:val="006E3377"/>
    <w:rsid w:val="006E625F"/>
    <w:rsid w:val="006F5FD0"/>
    <w:rsid w:val="006F7885"/>
    <w:rsid w:val="007046C8"/>
    <w:rsid w:val="00706E7C"/>
    <w:rsid w:val="00710A38"/>
    <w:rsid w:val="00711A01"/>
    <w:rsid w:val="007121FB"/>
    <w:rsid w:val="007129D6"/>
    <w:rsid w:val="00712CB3"/>
    <w:rsid w:val="00715755"/>
    <w:rsid w:val="00730668"/>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87BB5"/>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0CDB"/>
    <w:rsid w:val="008272C0"/>
    <w:rsid w:val="00831982"/>
    <w:rsid w:val="008323D3"/>
    <w:rsid w:val="008351FF"/>
    <w:rsid w:val="00846F87"/>
    <w:rsid w:val="00862885"/>
    <w:rsid w:val="008660AD"/>
    <w:rsid w:val="0087086B"/>
    <w:rsid w:val="00870FC9"/>
    <w:rsid w:val="00881C2D"/>
    <w:rsid w:val="00886ED7"/>
    <w:rsid w:val="00894E29"/>
    <w:rsid w:val="0089693D"/>
    <w:rsid w:val="008A1184"/>
    <w:rsid w:val="008A1514"/>
    <w:rsid w:val="008B0830"/>
    <w:rsid w:val="008B77CD"/>
    <w:rsid w:val="008C3178"/>
    <w:rsid w:val="008C68A0"/>
    <w:rsid w:val="008D1243"/>
    <w:rsid w:val="008D2B5F"/>
    <w:rsid w:val="008D3E45"/>
    <w:rsid w:val="008E13D5"/>
    <w:rsid w:val="008E2D12"/>
    <w:rsid w:val="008F294D"/>
    <w:rsid w:val="009017AA"/>
    <w:rsid w:val="009055F3"/>
    <w:rsid w:val="0090581D"/>
    <w:rsid w:val="009066B6"/>
    <w:rsid w:val="00907556"/>
    <w:rsid w:val="00913817"/>
    <w:rsid w:val="0092504E"/>
    <w:rsid w:val="00925F7F"/>
    <w:rsid w:val="009260B8"/>
    <w:rsid w:val="0092731B"/>
    <w:rsid w:val="009317C0"/>
    <w:rsid w:val="009352F4"/>
    <w:rsid w:val="00940E1D"/>
    <w:rsid w:val="00950E74"/>
    <w:rsid w:val="009510CB"/>
    <w:rsid w:val="00952960"/>
    <w:rsid w:val="00954FB8"/>
    <w:rsid w:val="00956BA0"/>
    <w:rsid w:val="0096032B"/>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0208"/>
    <w:rsid w:val="00A433A6"/>
    <w:rsid w:val="00A43E7A"/>
    <w:rsid w:val="00A46ED3"/>
    <w:rsid w:val="00A504E1"/>
    <w:rsid w:val="00A609E7"/>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6689"/>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2593"/>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25EF9"/>
    <w:rsid w:val="00C30183"/>
    <w:rsid w:val="00C316FC"/>
    <w:rsid w:val="00C3644F"/>
    <w:rsid w:val="00C36666"/>
    <w:rsid w:val="00C43AAC"/>
    <w:rsid w:val="00C460D8"/>
    <w:rsid w:val="00C52B1A"/>
    <w:rsid w:val="00C5322B"/>
    <w:rsid w:val="00C61B8C"/>
    <w:rsid w:val="00C640A4"/>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06A30"/>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A388D"/>
    <w:rsid w:val="00DC0253"/>
    <w:rsid w:val="00DC4F70"/>
    <w:rsid w:val="00DC6B1E"/>
    <w:rsid w:val="00DC753D"/>
    <w:rsid w:val="00DD0CD4"/>
    <w:rsid w:val="00DE3C11"/>
    <w:rsid w:val="00DF04F0"/>
    <w:rsid w:val="00DF483C"/>
    <w:rsid w:val="00E128DF"/>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19EC"/>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6A6A"/>
    <w:rsid w:val="00F07EE2"/>
    <w:rsid w:val="00F1778E"/>
    <w:rsid w:val="00F17A90"/>
    <w:rsid w:val="00F233FF"/>
    <w:rsid w:val="00F27C45"/>
    <w:rsid w:val="00F33C45"/>
    <w:rsid w:val="00F36AE6"/>
    <w:rsid w:val="00F46873"/>
    <w:rsid w:val="00F4786D"/>
    <w:rsid w:val="00F504CC"/>
    <w:rsid w:val="00F50E8B"/>
    <w:rsid w:val="00F60220"/>
    <w:rsid w:val="00F76A8F"/>
    <w:rsid w:val="00F77C8A"/>
    <w:rsid w:val="00F86AAA"/>
    <w:rsid w:val="00F9055E"/>
    <w:rsid w:val="00F91683"/>
    <w:rsid w:val="00FA17FC"/>
    <w:rsid w:val="00FB17AC"/>
    <w:rsid w:val="00FC622D"/>
    <w:rsid w:val="00FD5083"/>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rsid w:val="001951FE"/>
    <w:rPr>
      <w:sz w:val="20"/>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 w:type="paragraph" w:customStyle="1" w:styleId="Default">
    <w:name w:val="Default"/>
    <w:rsid w:val="0092504E"/>
    <w:pPr>
      <w:autoSpaceDE w:val="0"/>
      <w:autoSpaceDN w:val="0"/>
      <w:adjustRightInd w:val="0"/>
    </w:pPr>
    <w:rPr>
      <w:rFonts w:ascii="Minion Pro" w:hAnsi="Minion Pro" w:cs="Minion Pro"/>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1634</Words>
  <Characters>8960</Characters>
  <Application>Microsoft Office Word</Application>
  <DocSecurity>0</DocSecurity>
  <Lines>169</Lines>
  <Paragraphs>100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10494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consulting@arthurbergmann.rs</cp:lastModifiedBy>
  <cp:revision>10</cp:revision>
  <cp:lastPrinted>2024-06-14T12:45:00Z</cp:lastPrinted>
  <dcterms:created xsi:type="dcterms:W3CDTF">2024-06-17T14:03:00Z</dcterms:created>
  <dcterms:modified xsi:type="dcterms:W3CDTF">2025-03-17T12:50:00Z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2023-04-04T08:24:05Z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e2b06f07-c8cb-47fd-ac19-36a976675b57</vt:lpwstr>
  </property>
  <property fmtid="{D5CDD505-2E9C-101B-9397-08002B2CF9AE}" pid="10" name="MSIP_Label_6bd9ddd1-4d20-43f6-abfa-fc3c07406f94_ContentBits">
    <vt:lpwstr>0</vt:lpwstr>
  </property>
  <property fmtid="{D5CDD505-2E9C-101B-9397-08002B2CF9AE}" pid="11" name="GrammarlyDocumentId">
    <vt:lpwstr>cd28a3588ae691bfa76208a7fc8bd4335d4136d274c55d3a0cbf4b2a28247767</vt:lpwstr>
  </property>
</Properties>
</file>